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400"/>
      </w:tblGrid>
      <w:tr w:rsidR="009A607B" w:rsidRPr="005C6C8F" w14:paraId="5BC091FC" w14:textId="77777777" w:rsidTr="009A607B">
        <w:tc>
          <w:tcPr>
            <w:tcW w:w="10638" w:type="dxa"/>
            <w:gridSpan w:val="2"/>
          </w:tcPr>
          <w:p w14:paraId="270CDE21" w14:textId="77777777" w:rsidR="009A607B" w:rsidRPr="005C6C8F" w:rsidRDefault="009A607B" w:rsidP="00FC7C37">
            <w:pPr>
              <w:pStyle w:val="Heading1"/>
              <w:spacing w:line="240" w:lineRule="auto"/>
              <w:rPr>
                <w:rFonts w:ascii="Book Antiqua" w:hAnsi="Book Antiqua"/>
                <w:b/>
                <w:sz w:val="22"/>
                <w:szCs w:val="22"/>
              </w:rPr>
            </w:pPr>
            <w:r w:rsidRPr="005C6C8F">
              <w:rPr>
                <w:rFonts w:ascii="Book Antiqua" w:hAnsi="Book Antiqua"/>
                <w:b/>
                <w:sz w:val="22"/>
                <w:szCs w:val="22"/>
              </w:rPr>
              <w:t>Western Institute of Nursing</w:t>
            </w:r>
          </w:p>
          <w:p w14:paraId="33B25701" w14:textId="77777777" w:rsidR="009A607B" w:rsidRPr="005C6C8F" w:rsidRDefault="009A607B" w:rsidP="009A607B">
            <w:pPr>
              <w:jc w:val="center"/>
              <w:rPr>
                <w:rFonts w:ascii="Book Antiqua" w:hAnsi="Book Antiqua"/>
                <w:sz w:val="22"/>
                <w:szCs w:val="22"/>
              </w:rPr>
            </w:pPr>
            <w:r w:rsidRPr="005C6C8F">
              <w:rPr>
                <w:rFonts w:ascii="Book Antiqua" w:hAnsi="Book Antiqua"/>
                <w:b/>
                <w:sz w:val="22"/>
                <w:szCs w:val="22"/>
              </w:rPr>
              <w:t>Conflict of Interest Policy Statement</w:t>
            </w:r>
          </w:p>
        </w:tc>
      </w:tr>
      <w:tr w:rsidR="00FC7C37" w:rsidRPr="005C6C8F" w14:paraId="60625AAD" w14:textId="77777777" w:rsidTr="009A607B">
        <w:tc>
          <w:tcPr>
            <w:tcW w:w="5238" w:type="dxa"/>
          </w:tcPr>
          <w:p w14:paraId="05AD5B79" w14:textId="77777777" w:rsidR="00FC7C37" w:rsidRPr="005C6C8F" w:rsidRDefault="00FC7C37" w:rsidP="009A607B">
            <w:pPr>
              <w:pStyle w:val="Heading1"/>
              <w:spacing w:line="240" w:lineRule="auto"/>
              <w:rPr>
                <w:rFonts w:ascii="Book Antiqua" w:hAnsi="Book Antiqua"/>
                <w:b/>
                <w:sz w:val="22"/>
                <w:szCs w:val="22"/>
              </w:rPr>
            </w:pPr>
            <w:r w:rsidRPr="005C6C8F">
              <w:rPr>
                <w:rFonts w:ascii="Book Antiqua" w:hAnsi="Book Antiqua"/>
                <w:b/>
                <w:sz w:val="22"/>
                <w:szCs w:val="22"/>
              </w:rPr>
              <w:t>Policy</w:t>
            </w:r>
          </w:p>
        </w:tc>
        <w:tc>
          <w:tcPr>
            <w:tcW w:w="5400" w:type="dxa"/>
          </w:tcPr>
          <w:p w14:paraId="669AEC26" w14:textId="77777777" w:rsidR="00FC7C37" w:rsidRPr="005C6C8F" w:rsidRDefault="00FC7C37" w:rsidP="009A607B">
            <w:pPr>
              <w:pStyle w:val="Heading3"/>
              <w:jc w:val="center"/>
              <w:rPr>
                <w:rFonts w:ascii="Book Antiqua" w:hAnsi="Book Antiqua"/>
                <w:sz w:val="22"/>
                <w:szCs w:val="22"/>
              </w:rPr>
            </w:pPr>
            <w:r w:rsidRPr="005C6C8F">
              <w:rPr>
                <w:rFonts w:ascii="Book Antiqua" w:hAnsi="Book Antiqua"/>
                <w:sz w:val="22"/>
                <w:szCs w:val="22"/>
              </w:rPr>
              <w:t>Rationale</w:t>
            </w:r>
          </w:p>
        </w:tc>
      </w:tr>
      <w:tr w:rsidR="00FC7C37" w:rsidRPr="005C6C8F" w14:paraId="10DE9C13" w14:textId="77777777" w:rsidTr="009A607B">
        <w:tc>
          <w:tcPr>
            <w:tcW w:w="5238" w:type="dxa"/>
          </w:tcPr>
          <w:p w14:paraId="383D75C4" w14:textId="77777777" w:rsidR="00FC7C37" w:rsidRDefault="00FC7C37" w:rsidP="00FC7C37">
            <w:pPr>
              <w:pStyle w:val="Heading1"/>
              <w:spacing w:line="240" w:lineRule="auto"/>
              <w:jc w:val="left"/>
              <w:rPr>
                <w:rFonts w:ascii="Book Antiqua" w:hAnsi="Book Antiqua"/>
                <w:sz w:val="22"/>
                <w:szCs w:val="22"/>
                <w:u w:val="single"/>
              </w:rPr>
            </w:pPr>
          </w:p>
          <w:p w14:paraId="28DBAEA8" w14:textId="77777777" w:rsidR="00FC7C37" w:rsidRDefault="00FC7C37" w:rsidP="00FC7C37">
            <w:pPr>
              <w:pStyle w:val="Heading1"/>
              <w:spacing w:line="240" w:lineRule="auto"/>
              <w:jc w:val="left"/>
              <w:rPr>
                <w:rFonts w:ascii="Book Antiqua" w:hAnsi="Book Antiqua"/>
                <w:sz w:val="22"/>
                <w:szCs w:val="22"/>
                <w:u w:val="single"/>
              </w:rPr>
            </w:pPr>
            <w:r w:rsidRPr="005C6C8F">
              <w:rPr>
                <w:rFonts w:ascii="Book Antiqua" w:hAnsi="Book Antiqua"/>
                <w:sz w:val="22"/>
                <w:szCs w:val="22"/>
                <w:u w:val="single"/>
              </w:rPr>
              <w:t>Background</w:t>
            </w:r>
          </w:p>
          <w:p w14:paraId="0EC81D54" w14:textId="77777777" w:rsidR="00FC7C37" w:rsidRPr="005C6C8F" w:rsidRDefault="00FC7C37" w:rsidP="00FC7C37"/>
          <w:p w14:paraId="2E19DF22" w14:textId="251E9CCE" w:rsidR="00FC7C37" w:rsidRDefault="00FC7C37" w:rsidP="00FC7C37">
            <w:pPr>
              <w:rPr>
                <w:rFonts w:ascii="Book Antiqua" w:hAnsi="Book Antiqua"/>
                <w:sz w:val="22"/>
                <w:szCs w:val="22"/>
              </w:rPr>
            </w:pPr>
            <w:r w:rsidRPr="005C6C8F">
              <w:rPr>
                <w:rFonts w:ascii="Book Antiqua" w:hAnsi="Book Antiqua"/>
                <w:sz w:val="22"/>
                <w:szCs w:val="22"/>
              </w:rPr>
              <w:t>In the history of the Western Institu</w:t>
            </w:r>
            <w:r w:rsidR="009325EA">
              <w:rPr>
                <w:rFonts w:ascii="Book Antiqua" w:hAnsi="Book Antiqua"/>
                <w:sz w:val="22"/>
                <w:szCs w:val="22"/>
              </w:rPr>
              <w:t>t</w:t>
            </w:r>
            <w:r w:rsidRPr="005C6C8F">
              <w:rPr>
                <w:rFonts w:ascii="Book Antiqua" w:hAnsi="Book Antiqua"/>
                <w:sz w:val="22"/>
                <w:szCs w:val="22"/>
              </w:rPr>
              <w:t xml:space="preserve">e of Nursing (WIN), it has happened that a member of the Board </w:t>
            </w:r>
            <w:r w:rsidR="009A607B">
              <w:rPr>
                <w:rFonts w:ascii="Book Antiqua" w:hAnsi="Book Antiqua"/>
                <w:sz w:val="22"/>
                <w:szCs w:val="22"/>
              </w:rPr>
              <w:t xml:space="preserve">or of a </w:t>
            </w:r>
            <w:proofErr w:type="gramStart"/>
            <w:r w:rsidR="009A607B">
              <w:rPr>
                <w:rFonts w:ascii="Book Antiqua" w:hAnsi="Book Antiqua"/>
                <w:sz w:val="22"/>
                <w:szCs w:val="22"/>
              </w:rPr>
              <w:t>Committee</w:t>
            </w:r>
            <w:proofErr w:type="gramEnd"/>
            <w:r w:rsidR="009A607B">
              <w:rPr>
                <w:rFonts w:ascii="Book Antiqua" w:hAnsi="Book Antiqua"/>
                <w:sz w:val="22"/>
                <w:szCs w:val="22"/>
              </w:rPr>
              <w:t xml:space="preserve"> </w:t>
            </w:r>
            <w:r w:rsidRPr="005C6C8F">
              <w:rPr>
                <w:rFonts w:ascii="Book Antiqua" w:hAnsi="Book Antiqua"/>
                <w:sz w:val="22"/>
                <w:szCs w:val="22"/>
              </w:rPr>
              <w:t>has found herself</w:t>
            </w:r>
            <w:r w:rsidR="009325EA">
              <w:rPr>
                <w:rFonts w:ascii="Book Antiqua" w:hAnsi="Book Antiqua"/>
                <w:sz w:val="22"/>
                <w:szCs w:val="22"/>
              </w:rPr>
              <w:t>/himself/themself</w:t>
            </w:r>
            <w:r w:rsidRPr="005C6C8F">
              <w:rPr>
                <w:rFonts w:ascii="Book Antiqua" w:hAnsi="Book Antiqua"/>
                <w:sz w:val="22"/>
                <w:szCs w:val="22"/>
              </w:rPr>
              <w:t xml:space="preserve"> in a position where she</w:t>
            </w:r>
            <w:r w:rsidR="009325EA">
              <w:rPr>
                <w:rFonts w:ascii="Book Antiqua" w:hAnsi="Book Antiqua"/>
                <w:sz w:val="22"/>
                <w:szCs w:val="22"/>
              </w:rPr>
              <w:t>/he/they</w:t>
            </w:r>
            <w:r w:rsidRPr="005C6C8F">
              <w:rPr>
                <w:rFonts w:ascii="Book Antiqua" w:hAnsi="Book Antiqua"/>
                <w:sz w:val="22"/>
                <w:szCs w:val="22"/>
              </w:rPr>
              <w:t xml:space="preserve"> must participate in a decision which represents, in truth or appearance, a conflict of interest for her</w:t>
            </w:r>
            <w:r w:rsidR="009325EA">
              <w:rPr>
                <w:rFonts w:ascii="Book Antiqua" w:hAnsi="Book Antiqua"/>
                <w:sz w:val="22"/>
                <w:szCs w:val="22"/>
              </w:rPr>
              <w:t>/him/them</w:t>
            </w:r>
            <w:r w:rsidRPr="005C6C8F">
              <w:rPr>
                <w:rFonts w:ascii="Book Antiqua" w:hAnsi="Book Antiqua"/>
                <w:sz w:val="22"/>
                <w:szCs w:val="22"/>
              </w:rPr>
              <w:t xml:space="preserve">.  Such a conflict usually arises when the individual has a vested interest in the outcome of a </w:t>
            </w:r>
            <w:proofErr w:type="gramStart"/>
            <w:r w:rsidRPr="005C6C8F">
              <w:rPr>
                <w:rFonts w:ascii="Book Antiqua" w:hAnsi="Book Antiqua"/>
                <w:sz w:val="22"/>
                <w:szCs w:val="22"/>
              </w:rPr>
              <w:t>decision;</w:t>
            </w:r>
            <w:proofErr w:type="gramEnd"/>
            <w:r w:rsidRPr="005C6C8F">
              <w:rPr>
                <w:rFonts w:ascii="Book Antiqua" w:hAnsi="Book Antiqua"/>
                <w:sz w:val="22"/>
                <w:szCs w:val="22"/>
              </w:rPr>
              <w:t xml:space="preserve"> e.g.</w:t>
            </w:r>
            <w:r w:rsidR="009A607B">
              <w:rPr>
                <w:rFonts w:ascii="Book Antiqua" w:hAnsi="Book Antiqua"/>
                <w:sz w:val="22"/>
                <w:szCs w:val="22"/>
              </w:rPr>
              <w:t>,</w:t>
            </w:r>
            <w:r w:rsidRPr="005C6C8F">
              <w:rPr>
                <w:rFonts w:ascii="Book Antiqua" w:hAnsi="Book Antiqua"/>
                <w:sz w:val="22"/>
                <w:szCs w:val="22"/>
              </w:rPr>
              <w:t xml:space="preserve"> a committee member judging a contest has a vested interest in the outcome if</w:t>
            </w:r>
            <w:r w:rsidR="009325EA">
              <w:rPr>
                <w:rFonts w:ascii="Book Antiqua" w:hAnsi="Book Antiqua"/>
                <w:sz w:val="22"/>
                <w:szCs w:val="22"/>
              </w:rPr>
              <w:t xml:space="preserve"> </w:t>
            </w:r>
            <w:r w:rsidRPr="005C6C8F">
              <w:rPr>
                <w:rFonts w:ascii="Book Antiqua" w:hAnsi="Book Antiqua"/>
                <w:sz w:val="22"/>
                <w:szCs w:val="22"/>
              </w:rPr>
              <w:t>she</w:t>
            </w:r>
            <w:r w:rsidR="009325EA">
              <w:rPr>
                <w:rFonts w:ascii="Book Antiqua" w:hAnsi="Book Antiqua"/>
                <w:sz w:val="22"/>
                <w:szCs w:val="22"/>
              </w:rPr>
              <w:t>/he/they</w:t>
            </w:r>
            <w:r w:rsidRPr="005C6C8F">
              <w:rPr>
                <w:rFonts w:ascii="Book Antiqua" w:hAnsi="Book Antiqua"/>
                <w:sz w:val="22"/>
                <w:szCs w:val="22"/>
              </w:rPr>
              <w:t xml:space="preserve"> is associated with one of the contestants. To avoid the appearance of impropriety, WIN must develop and institute a policy to guide the Board in such a situation.  </w:t>
            </w:r>
          </w:p>
          <w:p w14:paraId="3191D6FF" w14:textId="77777777" w:rsidR="009A607B" w:rsidRPr="005C6C8F" w:rsidRDefault="009A607B" w:rsidP="00FC7C37">
            <w:pPr>
              <w:rPr>
                <w:rFonts w:ascii="Book Antiqua" w:hAnsi="Book Antiqua"/>
                <w:sz w:val="22"/>
                <w:szCs w:val="22"/>
              </w:rPr>
            </w:pPr>
          </w:p>
        </w:tc>
        <w:tc>
          <w:tcPr>
            <w:tcW w:w="5400" w:type="dxa"/>
          </w:tcPr>
          <w:p w14:paraId="42F1BE97" w14:textId="77777777" w:rsidR="00FC7C37" w:rsidRPr="005C6C8F" w:rsidRDefault="00FC7C37" w:rsidP="00FC7C37">
            <w:pPr>
              <w:rPr>
                <w:rFonts w:ascii="Book Antiqua" w:hAnsi="Book Antiqua"/>
                <w:sz w:val="22"/>
                <w:szCs w:val="22"/>
              </w:rPr>
            </w:pPr>
          </w:p>
          <w:p w14:paraId="4F298B69" w14:textId="77777777" w:rsidR="00FC7C37" w:rsidRDefault="00FC7C37" w:rsidP="00FC7C37">
            <w:pPr>
              <w:rPr>
                <w:rFonts w:ascii="Book Antiqua" w:hAnsi="Book Antiqua"/>
                <w:sz w:val="22"/>
                <w:szCs w:val="22"/>
              </w:rPr>
            </w:pPr>
          </w:p>
          <w:p w14:paraId="07D60BD9" w14:textId="77777777" w:rsidR="007E0FFA" w:rsidRDefault="007E0FFA" w:rsidP="00FC7C37">
            <w:pPr>
              <w:rPr>
                <w:rFonts w:ascii="Book Antiqua" w:hAnsi="Book Antiqua"/>
                <w:sz w:val="22"/>
                <w:szCs w:val="22"/>
              </w:rPr>
            </w:pPr>
          </w:p>
          <w:p w14:paraId="399128FF" w14:textId="77777777" w:rsidR="00FC7C37" w:rsidRPr="005C6C8F" w:rsidRDefault="00FC7C37" w:rsidP="00FC7C37">
            <w:pPr>
              <w:rPr>
                <w:rFonts w:ascii="Book Antiqua" w:hAnsi="Book Antiqua"/>
                <w:sz w:val="22"/>
                <w:szCs w:val="22"/>
              </w:rPr>
            </w:pPr>
            <w:r w:rsidRPr="005C6C8F">
              <w:rPr>
                <w:rFonts w:ascii="Book Antiqua" w:hAnsi="Book Antiqua"/>
                <w:sz w:val="22"/>
                <w:szCs w:val="22"/>
              </w:rPr>
              <w:t xml:space="preserve">This policy statement serves to guide the Board in situations where a conflict of interest may arise.  This policy will not only help guide the Board’s behavior, but also help ensure that any Board decision would not be interpreted as unethical by another party.  </w:t>
            </w:r>
          </w:p>
        </w:tc>
      </w:tr>
      <w:tr w:rsidR="00FC7C37" w:rsidRPr="005C6C8F" w14:paraId="1DB5FF8D" w14:textId="77777777" w:rsidTr="009A607B">
        <w:tc>
          <w:tcPr>
            <w:tcW w:w="5238" w:type="dxa"/>
          </w:tcPr>
          <w:p w14:paraId="47164BC9" w14:textId="77777777" w:rsidR="00FC7C37" w:rsidRDefault="00FC7C37" w:rsidP="00FC7C37">
            <w:pPr>
              <w:pStyle w:val="Heading1"/>
              <w:spacing w:line="240" w:lineRule="auto"/>
              <w:jc w:val="left"/>
              <w:rPr>
                <w:rFonts w:ascii="Book Antiqua" w:hAnsi="Book Antiqua"/>
                <w:sz w:val="22"/>
                <w:szCs w:val="22"/>
                <w:u w:val="single"/>
              </w:rPr>
            </w:pPr>
          </w:p>
          <w:p w14:paraId="3D66316A" w14:textId="77777777" w:rsidR="00FC7C37" w:rsidRDefault="00FC7C37" w:rsidP="00FC7C37">
            <w:pPr>
              <w:pStyle w:val="Heading1"/>
              <w:spacing w:line="240" w:lineRule="auto"/>
              <w:jc w:val="left"/>
              <w:rPr>
                <w:rFonts w:ascii="Book Antiqua" w:hAnsi="Book Antiqua"/>
                <w:sz w:val="22"/>
                <w:szCs w:val="22"/>
                <w:u w:val="single"/>
              </w:rPr>
            </w:pPr>
            <w:r w:rsidRPr="005C6C8F">
              <w:rPr>
                <w:rFonts w:ascii="Book Antiqua" w:hAnsi="Book Antiqua"/>
                <w:sz w:val="22"/>
                <w:szCs w:val="22"/>
                <w:u w:val="single"/>
              </w:rPr>
              <w:t>Disclosure</w:t>
            </w:r>
          </w:p>
          <w:p w14:paraId="14828FB8" w14:textId="77777777" w:rsidR="00FC7C37" w:rsidRPr="005C6C8F" w:rsidRDefault="00FC7C37" w:rsidP="00FC7C37"/>
          <w:p w14:paraId="6FD04202" w14:textId="42071083" w:rsidR="00FC7C37" w:rsidRDefault="00FC7C37" w:rsidP="00FC7C37">
            <w:pPr>
              <w:pStyle w:val="BodyText"/>
              <w:spacing w:line="240" w:lineRule="auto"/>
              <w:rPr>
                <w:rFonts w:ascii="Book Antiqua" w:hAnsi="Book Antiqua"/>
                <w:sz w:val="22"/>
                <w:szCs w:val="22"/>
              </w:rPr>
            </w:pPr>
            <w:r w:rsidRPr="005C6C8F">
              <w:rPr>
                <w:rFonts w:ascii="Book Antiqua" w:hAnsi="Book Antiqua"/>
                <w:sz w:val="22"/>
                <w:szCs w:val="22"/>
              </w:rPr>
              <w:t>In connection with any actual or possible conflict of interest, an interested person must disclose the existence and nature of her</w:t>
            </w:r>
            <w:r w:rsidR="009325EA">
              <w:rPr>
                <w:rFonts w:ascii="Book Antiqua" w:hAnsi="Book Antiqua"/>
                <w:sz w:val="22"/>
                <w:szCs w:val="22"/>
              </w:rPr>
              <w:t>/his/their</w:t>
            </w:r>
            <w:r w:rsidRPr="005C6C8F">
              <w:rPr>
                <w:rFonts w:ascii="Book Antiqua" w:hAnsi="Book Antiqua"/>
                <w:sz w:val="22"/>
                <w:szCs w:val="22"/>
              </w:rPr>
              <w:t xml:space="preserve"> conflict of interest to the Board and any relevant committee members as soon as she</w:t>
            </w:r>
            <w:r w:rsidR="009325EA">
              <w:rPr>
                <w:rFonts w:ascii="Book Antiqua" w:hAnsi="Book Antiqua"/>
                <w:sz w:val="22"/>
                <w:szCs w:val="22"/>
              </w:rPr>
              <w:t>/he/they</w:t>
            </w:r>
            <w:r w:rsidRPr="005C6C8F">
              <w:rPr>
                <w:rFonts w:ascii="Book Antiqua" w:hAnsi="Book Antiqua"/>
                <w:sz w:val="22"/>
                <w:szCs w:val="22"/>
              </w:rPr>
              <w:t xml:space="preserve"> </w:t>
            </w:r>
            <w:proofErr w:type="gramStart"/>
            <w:r w:rsidRPr="005C6C8F">
              <w:rPr>
                <w:rFonts w:ascii="Book Antiqua" w:hAnsi="Book Antiqua"/>
                <w:sz w:val="22"/>
                <w:szCs w:val="22"/>
              </w:rPr>
              <w:t>becomes</w:t>
            </w:r>
            <w:proofErr w:type="gramEnd"/>
            <w:r w:rsidRPr="005C6C8F">
              <w:rPr>
                <w:rFonts w:ascii="Book Antiqua" w:hAnsi="Book Antiqua"/>
                <w:sz w:val="22"/>
                <w:szCs w:val="22"/>
              </w:rPr>
              <w:t xml:space="preserve"> aware of such a conflict.  For this purpose, an interested person shall include any Board member or member of a committee of the WIN. A conflict of interest shall include: </w:t>
            </w:r>
          </w:p>
          <w:p w14:paraId="0FCDAF83" w14:textId="77777777" w:rsidR="009325EA" w:rsidRPr="005C6C8F" w:rsidRDefault="009325EA" w:rsidP="00FC7C37">
            <w:pPr>
              <w:pStyle w:val="BodyText"/>
              <w:spacing w:line="240" w:lineRule="auto"/>
              <w:rPr>
                <w:rFonts w:ascii="Book Antiqua" w:hAnsi="Book Antiqua"/>
                <w:sz w:val="22"/>
                <w:szCs w:val="22"/>
              </w:rPr>
            </w:pPr>
          </w:p>
          <w:p w14:paraId="23814176" w14:textId="77777777" w:rsidR="00FC7C37" w:rsidRPr="005C6C8F" w:rsidRDefault="00FC7C37" w:rsidP="00FC7C37">
            <w:pPr>
              <w:pStyle w:val="BodyText"/>
              <w:numPr>
                <w:ilvl w:val="0"/>
                <w:numId w:val="1"/>
              </w:numPr>
              <w:spacing w:line="240" w:lineRule="auto"/>
              <w:rPr>
                <w:rFonts w:ascii="Book Antiqua" w:hAnsi="Book Antiqua"/>
                <w:sz w:val="22"/>
                <w:szCs w:val="22"/>
              </w:rPr>
            </w:pPr>
            <w:r w:rsidRPr="005C6C8F">
              <w:rPr>
                <w:rFonts w:ascii="Book Antiqua" w:hAnsi="Book Antiqua"/>
                <w:sz w:val="22"/>
                <w:szCs w:val="22"/>
              </w:rPr>
              <w:t xml:space="preserve">a relationship with an entity with which the WIN has a proposed transaction or </w:t>
            </w:r>
            <w:proofErr w:type="gramStart"/>
            <w:r w:rsidRPr="005C6C8F">
              <w:rPr>
                <w:rFonts w:ascii="Book Antiqua" w:hAnsi="Book Antiqua"/>
                <w:sz w:val="22"/>
                <w:szCs w:val="22"/>
              </w:rPr>
              <w:t>agreement;</w:t>
            </w:r>
            <w:proofErr w:type="gramEnd"/>
            <w:r w:rsidRPr="005C6C8F">
              <w:rPr>
                <w:rFonts w:ascii="Book Antiqua" w:hAnsi="Book Antiqua"/>
                <w:sz w:val="22"/>
                <w:szCs w:val="22"/>
              </w:rPr>
              <w:t xml:space="preserve"> </w:t>
            </w:r>
          </w:p>
          <w:p w14:paraId="30B913BA" w14:textId="77777777" w:rsidR="00FC7C37" w:rsidRPr="005C6C8F" w:rsidRDefault="00FC7C37" w:rsidP="00FC7C37">
            <w:pPr>
              <w:pStyle w:val="BodyText"/>
              <w:numPr>
                <w:ilvl w:val="0"/>
                <w:numId w:val="1"/>
              </w:numPr>
              <w:spacing w:line="240" w:lineRule="auto"/>
              <w:rPr>
                <w:rFonts w:ascii="Book Antiqua" w:hAnsi="Book Antiqua"/>
                <w:sz w:val="22"/>
                <w:szCs w:val="22"/>
              </w:rPr>
            </w:pPr>
            <w:r w:rsidRPr="005C6C8F">
              <w:rPr>
                <w:rFonts w:ascii="Book Antiqua" w:hAnsi="Book Antiqua"/>
                <w:sz w:val="22"/>
                <w:szCs w:val="22"/>
              </w:rPr>
              <w:t xml:space="preserve">any compensation arrangement with the WIN or with any entity or individual with which the WIN has a proposed transaction or </w:t>
            </w:r>
            <w:proofErr w:type="gramStart"/>
            <w:r w:rsidRPr="005C6C8F">
              <w:rPr>
                <w:rFonts w:ascii="Book Antiqua" w:hAnsi="Book Antiqua"/>
                <w:sz w:val="22"/>
                <w:szCs w:val="22"/>
              </w:rPr>
              <w:t>arrangement;</w:t>
            </w:r>
            <w:proofErr w:type="gramEnd"/>
            <w:r w:rsidRPr="005C6C8F">
              <w:rPr>
                <w:rFonts w:ascii="Book Antiqua" w:hAnsi="Book Antiqua"/>
                <w:sz w:val="22"/>
                <w:szCs w:val="22"/>
              </w:rPr>
              <w:t xml:space="preserve"> </w:t>
            </w:r>
          </w:p>
          <w:p w14:paraId="47368177" w14:textId="5804E706" w:rsidR="00FC7C37" w:rsidRPr="005C6C8F" w:rsidRDefault="00FC7C37" w:rsidP="00FC7C37">
            <w:pPr>
              <w:pStyle w:val="BodyText"/>
              <w:numPr>
                <w:ilvl w:val="0"/>
                <w:numId w:val="1"/>
              </w:numPr>
              <w:spacing w:line="240" w:lineRule="auto"/>
              <w:rPr>
                <w:rFonts w:ascii="Book Antiqua" w:hAnsi="Book Antiqua"/>
                <w:sz w:val="22"/>
                <w:szCs w:val="22"/>
              </w:rPr>
            </w:pPr>
            <w:r w:rsidRPr="005C6C8F">
              <w:rPr>
                <w:rFonts w:ascii="Book Antiqua" w:hAnsi="Book Antiqua"/>
                <w:sz w:val="22"/>
                <w:szCs w:val="22"/>
              </w:rPr>
              <w:t xml:space="preserve">residency in a state under consideration for </w:t>
            </w:r>
            <w:r w:rsidR="009325EA">
              <w:rPr>
                <w:rFonts w:ascii="Book Antiqua" w:hAnsi="Book Antiqua"/>
                <w:sz w:val="22"/>
                <w:szCs w:val="22"/>
              </w:rPr>
              <w:t>a</w:t>
            </w:r>
            <w:r w:rsidRPr="005C6C8F">
              <w:rPr>
                <w:rFonts w:ascii="Book Antiqua" w:hAnsi="Book Antiqua"/>
                <w:sz w:val="22"/>
                <w:szCs w:val="22"/>
              </w:rPr>
              <w:t xml:space="preserve">nnual </w:t>
            </w:r>
            <w:r w:rsidR="009325EA">
              <w:rPr>
                <w:rFonts w:ascii="Book Antiqua" w:hAnsi="Book Antiqua"/>
                <w:sz w:val="22"/>
                <w:szCs w:val="22"/>
              </w:rPr>
              <w:t>c</w:t>
            </w:r>
            <w:r w:rsidRPr="005C6C8F">
              <w:rPr>
                <w:rFonts w:ascii="Book Antiqua" w:hAnsi="Book Antiqua"/>
                <w:sz w:val="22"/>
                <w:szCs w:val="22"/>
              </w:rPr>
              <w:t>on</w:t>
            </w:r>
            <w:r w:rsidR="009325EA">
              <w:rPr>
                <w:rFonts w:ascii="Book Antiqua" w:hAnsi="Book Antiqua"/>
                <w:sz w:val="22"/>
                <w:szCs w:val="22"/>
              </w:rPr>
              <w:t>ference</w:t>
            </w:r>
            <w:r w:rsidRPr="005C6C8F">
              <w:rPr>
                <w:rFonts w:ascii="Book Antiqua" w:hAnsi="Book Antiqua"/>
                <w:sz w:val="22"/>
                <w:szCs w:val="22"/>
              </w:rPr>
              <w:t xml:space="preserve"> </w:t>
            </w:r>
            <w:proofErr w:type="gramStart"/>
            <w:r w:rsidRPr="005C6C8F">
              <w:rPr>
                <w:rFonts w:ascii="Book Antiqua" w:hAnsi="Book Antiqua"/>
                <w:sz w:val="22"/>
                <w:szCs w:val="22"/>
              </w:rPr>
              <w:t>location;</w:t>
            </w:r>
            <w:proofErr w:type="gramEnd"/>
            <w:r w:rsidRPr="005C6C8F">
              <w:rPr>
                <w:rFonts w:ascii="Book Antiqua" w:hAnsi="Book Antiqua"/>
                <w:sz w:val="22"/>
                <w:szCs w:val="22"/>
              </w:rPr>
              <w:t xml:space="preserve"> </w:t>
            </w:r>
          </w:p>
          <w:p w14:paraId="1111833B" w14:textId="77777777" w:rsidR="00FC7C37" w:rsidRPr="005C6C8F" w:rsidRDefault="00FC7C37" w:rsidP="00FC7C37">
            <w:pPr>
              <w:pStyle w:val="BodyText"/>
              <w:numPr>
                <w:ilvl w:val="0"/>
                <w:numId w:val="1"/>
              </w:numPr>
              <w:spacing w:line="240" w:lineRule="auto"/>
              <w:rPr>
                <w:rFonts w:ascii="Book Antiqua" w:hAnsi="Book Antiqua"/>
                <w:sz w:val="22"/>
                <w:szCs w:val="22"/>
              </w:rPr>
            </w:pPr>
            <w:r w:rsidRPr="005C6C8F">
              <w:rPr>
                <w:rFonts w:ascii="Book Antiqua" w:hAnsi="Book Antiqua"/>
                <w:sz w:val="22"/>
                <w:szCs w:val="22"/>
              </w:rPr>
              <w:t xml:space="preserve">a Board member’s endorsement, including any apparent endorsement, of any candidate for office, whether at the local, state or national </w:t>
            </w:r>
            <w:proofErr w:type="gramStart"/>
            <w:r w:rsidRPr="005C6C8F">
              <w:rPr>
                <w:rFonts w:ascii="Book Antiqua" w:hAnsi="Book Antiqua"/>
                <w:sz w:val="22"/>
                <w:szCs w:val="22"/>
              </w:rPr>
              <w:t>level;</w:t>
            </w:r>
            <w:proofErr w:type="gramEnd"/>
            <w:r w:rsidRPr="005C6C8F">
              <w:rPr>
                <w:rFonts w:ascii="Book Antiqua" w:hAnsi="Book Antiqua"/>
                <w:sz w:val="22"/>
                <w:szCs w:val="22"/>
              </w:rPr>
              <w:t xml:space="preserve"> </w:t>
            </w:r>
          </w:p>
          <w:p w14:paraId="67E42F78" w14:textId="77777777" w:rsidR="00FC7C37" w:rsidRPr="005C6C8F" w:rsidRDefault="00FC7C37" w:rsidP="00FC7C37">
            <w:pPr>
              <w:pStyle w:val="BodyText"/>
              <w:numPr>
                <w:ilvl w:val="0"/>
                <w:numId w:val="1"/>
              </w:numPr>
              <w:spacing w:line="240" w:lineRule="auto"/>
              <w:rPr>
                <w:rFonts w:ascii="Book Antiqua" w:hAnsi="Book Antiqua"/>
                <w:sz w:val="22"/>
                <w:szCs w:val="22"/>
              </w:rPr>
            </w:pPr>
            <w:r w:rsidRPr="005C6C8F">
              <w:rPr>
                <w:rFonts w:ascii="Book Antiqua" w:hAnsi="Book Antiqua" w:cs="Book Antiqua"/>
                <w:color w:val="000000"/>
                <w:sz w:val="22"/>
                <w:szCs w:val="22"/>
              </w:rPr>
              <w:t xml:space="preserve">any other conflict of interest that may arise, it being intended that the foregoing sub-paragraphs are set forth as examples </w:t>
            </w:r>
            <w:proofErr w:type="gramStart"/>
            <w:r w:rsidRPr="005C6C8F">
              <w:rPr>
                <w:rFonts w:ascii="Book Antiqua" w:hAnsi="Book Antiqua" w:cs="Book Antiqua"/>
                <w:color w:val="000000"/>
                <w:sz w:val="22"/>
                <w:szCs w:val="22"/>
              </w:rPr>
              <w:t>only, and</w:t>
            </w:r>
            <w:proofErr w:type="gramEnd"/>
            <w:r w:rsidRPr="005C6C8F">
              <w:rPr>
                <w:rFonts w:ascii="Book Antiqua" w:hAnsi="Book Antiqua" w:cs="Book Antiqua"/>
                <w:color w:val="000000"/>
                <w:sz w:val="22"/>
                <w:szCs w:val="22"/>
              </w:rPr>
              <w:t xml:space="preserve"> </w:t>
            </w:r>
            <w:r w:rsidRPr="005C6C8F">
              <w:rPr>
                <w:rFonts w:ascii="Book Antiqua" w:hAnsi="Book Antiqua" w:cs="Book Antiqua"/>
                <w:color w:val="000000"/>
                <w:sz w:val="22"/>
                <w:szCs w:val="22"/>
              </w:rPr>
              <w:lastRenderedPageBreak/>
              <w:t>should not be deemed an exhaustive list of all potential conflicts that may occur.</w:t>
            </w:r>
            <w:r w:rsidRPr="005C6C8F">
              <w:rPr>
                <w:rFonts w:ascii="Book Antiqua" w:hAnsi="Book Antiqua" w:cs="Book Antiqua"/>
                <w:color w:val="000080"/>
                <w:sz w:val="22"/>
                <w:szCs w:val="22"/>
              </w:rPr>
              <w:t xml:space="preserve"> </w:t>
            </w:r>
          </w:p>
          <w:p w14:paraId="37FE01E9" w14:textId="77777777" w:rsidR="00FC7C37" w:rsidRPr="005C6C8F" w:rsidRDefault="00FC7C37" w:rsidP="00FC7C37">
            <w:pPr>
              <w:pStyle w:val="BodyText"/>
              <w:spacing w:line="240" w:lineRule="auto"/>
              <w:rPr>
                <w:rFonts w:ascii="Book Antiqua" w:hAnsi="Book Antiqua"/>
                <w:sz w:val="22"/>
                <w:szCs w:val="22"/>
              </w:rPr>
            </w:pPr>
          </w:p>
        </w:tc>
        <w:tc>
          <w:tcPr>
            <w:tcW w:w="5400" w:type="dxa"/>
          </w:tcPr>
          <w:p w14:paraId="269C1007" w14:textId="77777777" w:rsidR="00FC7C37" w:rsidRPr="005C6C8F" w:rsidRDefault="00FC7C37" w:rsidP="00FC7C37">
            <w:pPr>
              <w:rPr>
                <w:rFonts w:ascii="Book Antiqua" w:hAnsi="Book Antiqua"/>
                <w:sz w:val="22"/>
                <w:szCs w:val="22"/>
              </w:rPr>
            </w:pPr>
          </w:p>
          <w:p w14:paraId="4C1FA1DA" w14:textId="77777777" w:rsidR="00FC7C37" w:rsidRDefault="00FC7C37" w:rsidP="00FC7C37">
            <w:pPr>
              <w:rPr>
                <w:rFonts w:ascii="Book Antiqua" w:hAnsi="Book Antiqua"/>
                <w:sz w:val="22"/>
                <w:szCs w:val="22"/>
              </w:rPr>
            </w:pPr>
          </w:p>
          <w:p w14:paraId="749102B5" w14:textId="77777777" w:rsidR="00FC7C37" w:rsidRDefault="00FC7C37" w:rsidP="00FC7C37">
            <w:pPr>
              <w:rPr>
                <w:rFonts w:ascii="Book Antiqua" w:hAnsi="Book Antiqua"/>
                <w:sz w:val="22"/>
                <w:szCs w:val="22"/>
              </w:rPr>
            </w:pPr>
          </w:p>
          <w:p w14:paraId="7A21C3C6" w14:textId="77777777" w:rsidR="00FC7C37" w:rsidRPr="005C6C8F" w:rsidRDefault="00FC7C37" w:rsidP="00FC7C37">
            <w:pPr>
              <w:rPr>
                <w:rFonts w:ascii="Book Antiqua" w:hAnsi="Book Antiqua"/>
                <w:sz w:val="22"/>
                <w:szCs w:val="22"/>
              </w:rPr>
            </w:pPr>
            <w:r w:rsidRPr="005C6C8F">
              <w:rPr>
                <w:rFonts w:ascii="Book Antiqua" w:hAnsi="Book Antiqua"/>
                <w:sz w:val="22"/>
                <w:szCs w:val="22"/>
              </w:rPr>
              <w:t xml:space="preserve">Honest and timely reporting of a conflict of interest (COI) is important to the fair functioning of an association. Furthermore, a delay in reporting a COI would make suspect any decision made with the participation of the interested person.  It could be argued that those who participated in the original discussions in the presence of the interested person would be biased in any reconsideration of such a decision due to their previous exposure to the interested person’s arguments.  With a limited number of Board members available to make decisions, it is important that any actual or possible COI be reported before any discussion of the relevant issue occurs.  </w:t>
            </w:r>
          </w:p>
          <w:p w14:paraId="7C608407" w14:textId="77777777" w:rsidR="00FC7C37" w:rsidRPr="005C6C8F" w:rsidRDefault="00FC7C37" w:rsidP="00FC7C37">
            <w:pPr>
              <w:rPr>
                <w:rFonts w:ascii="Book Antiqua" w:hAnsi="Book Antiqua"/>
                <w:sz w:val="22"/>
                <w:szCs w:val="22"/>
              </w:rPr>
            </w:pPr>
          </w:p>
        </w:tc>
      </w:tr>
      <w:tr w:rsidR="00FC7C37" w:rsidRPr="005C6C8F" w14:paraId="267540B5" w14:textId="77777777" w:rsidTr="009A607B">
        <w:tc>
          <w:tcPr>
            <w:tcW w:w="5238" w:type="dxa"/>
          </w:tcPr>
          <w:p w14:paraId="6A197333" w14:textId="77777777" w:rsidR="00FC7C37" w:rsidRDefault="00FC7C37" w:rsidP="00FC7C37">
            <w:pPr>
              <w:pStyle w:val="BodyText"/>
              <w:spacing w:line="240" w:lineRule="auto"/>
              <w:rPr>
                <w:rFonts w:ascii="Book Antiqua" w:hAnsi="Book Antiqua"/>
                <w:sz w:val="22"/>
                <w:szCs w:val="22"/>
                <w:u w:val="single"/>
              </w:rPr>
            </w:pPr>
            <w:r w:rsidRPr="005C6C8F">
              <w:rPr>
                <w:rFonts w:ascii="Book Antiqua" w:hAnsi="Book Antiqua"/>
                <w:sz w:val="22"/>
                <w:szCs w:val="22"/>
                <w:u w:val="single"/>
              </w:rPr>
              <w:t>Recusal and Investigation</w:t>
            </w:r>
          </w:p>
          <w:p w14:paraId="6D656775" w14:textId="77777777" w:rsidR="00FC7C37" w:rsidRPr="005C6C8F" w:rsidRDefault="00FC7C37" w:rsidP="00FC7C37">
            <w:pPr>
              <w:pStyle w:val="BodyText"/>
              <w:spacing w:line="240" w:lineRule="auto"/>
              <w:rPr>
                <w:rFonts w:ascii="Book Antiqua" w:hAnsi="Book Antiqua"/>
                <w:sz w:val="22"/>
                <w:szCs w:val="22"/>
                <w:u w:val="single"/>
              </w:rPr>
            </w:pPr>
          </w:p>
          <w:p w14:paraId="663EDDFA" w14:textId="6BB93987" w:rsidR="00FC7C37" w:rsidRPr="005C6C8F" w:rsidRDefault="00FC7C37" w:rsidP="00FC7C37">
            <w:pPr>
              <w:pStyle w:val="BodyText"/>
              <w:spacing w:line="240" w:lineRule="auto"/>
              <w:rPr>
                <w:rFonts w:ascii="Book Antiqua" w:hAnsi="Book Antiqua"/>
                <w:sz w:val="22"/>
                <w:szCs w:val="22"/>
              </w:rPr>
            </w:pPr>
            <w:r w:rsidRPr="005C6C8F">
              <w:rPr>
                <w:rFonts w:ascii="Book Antiqua" w:hAnsi="Book Antiqua"/>
                <w:sz w:val="22"/>
                <w:szCs w:val="22"/>
              </w:rPr>
              <w:t xml:space="preserve">After disclosure of the conflict of interest, the interested person shall leave the Board or committee meeting while the issue is discussed and voted upon.  The remaining Board members or committee members shall decide if a conflict of interest exists by a simple majority vote.  Should the remaining committee members number less than three, the President shall appoint a disinterested Board member to help discuss and vote upon the issue.  If a conflict of interest is found to exist, the President shall, if appropriate, appoint a disinterested board member to participate in the discussion.  Should the interested individual be the President, the </w:t>
            </w:r>
            <w:r w:rsidR="009325EA">
              <w:rPr>
                <w:rFonts w:ascii="Book Antiqua" w:hAnsi="Book Antiqua"/>
                <w:sz w:val="22"/>
                <w:szCs w:val="22"/>
              </w:rPr>
              <w:t>President-Elect or Past President</w:t>
            </w:r>
            <w:r w:rsidRPr="005C6C8F">
              <w:rPr>
                <w:rFonts w:ascii="Book Antiqua" w:hAnsi="Book Antiqua"/>
                <w:sz w:val="22"/>
                <w:szCs w:val="22"/>
              </w:rPr>
              <w:t xml:space="preserve"> shall make such appointment.  No issue shall be voted upon by less than three Board or committee members.  </w:t>
            </w:r>
          </w:p>
          <w:p w14:paraId="14D69E02" w14:textId="77777777" w:rsidR="00FC7C37" w:rsidRPr="005C6C8F" w:rsidRDefault="00FC7C37" w:rsidP="00FC7C37">
            <w:pPr>
              <w:rPr>
                <w:rFonts w:ascii="Book Antiqua" w:hAnsi="Book Antiqua"/>
                <w:sz w:val="22"/>
                <w:szCs w:val="22"/>
              </w:rPr>
            </w:pPr>
          </w:p>
        </w:tc>
        <w:tc>
          <w:tcPr>
            <w:tcW w:w="5400" w:type="dxa"/>
          </w:tcPr>
          <w:p w14:paraId="08787292" w14:textId="77777777" w:rsidR="00FC7C37" w:rsidRPr="005C6C8F" w:rsidRDefault="00FC7C37" w:rsidP="00FC7C37">
            <w:pPr>
              <w:rPr>
                <w:rFonts w:ascii="Book Antiqua" w:hAnsi="Book Antiqua"/>
                <w:sz w:val="22"/>
                <w:szCs w:val="22"/>
              </w:rPr>
            </w:pPr>
          </w:p>
          <w:p w14:paraId="0FCFF53A" w14:textId="77777777" w:rsidR="00FC7C37" w:rsidRDefault="00FC7C37" w:rsidP="00FC7C37">
            <w:pPr>
              <w:rPr>
                <w:rFonts w:ascii="Book Antiqua" w:hAnsi="Book Antiqua"/>
                <w:sz w:val="22"/>
                <w:szCs w:val="22"/>
              </w:rPr>
            </w:pPr>
          </w:p>
          <w:p w14:paraId="37FF6FAA" w14:textId="77777777" w:rsidR="00FC7C37" w:rsidRPr="005C6C8F" w:rsidRDefault="00FC7C37" w:rsidP="00FC7C37">
            <w:pPr>
              <w:rPr>
                <w:rFonts w:ascii="Book Antiqua" w:hAnsi="Book Antiqua"/>
                <w:sz w:val="22"/>
                <w:szCs w:val="22"/>
              </w:rPr>
            </w:pPr>
            <w:r w:rsidRPr="005C6C8F">
              <w:rPr>
                <w:rFonts w:ascii="Book Antiqua" w:hAnsi="Book Antiqua"/>
                <w:sz w:val="22"/>
                <w:szCs w:val="22"/>
              </w:rPr>
              <w:t xml:space="preserve">At least three members must vote upon an issue </w:t>
            </w:r>
            <w:proofErr w:type="gramStart"/>
            <w:r w:rsidRPr="005C6C8F">
              <w:rPr>
                <w:rFonts w:ascii="Book Antiqua" w:hAnsi="Book Antiqua"/>
                <w:sz w:val="22"/>
                <w:szCs w:val="22"/>
              </w:rPr>
              <w:t>in order to</w:t>
            </w:r>
            <w:proofErr w:type="gramEnd"/>
            <w:r w:rsidRPr="005C6C8F">
              <w:rPr>
                <w:rFonts w:ascii="Book Antiqua" w:hAnsi="Book Antiqua"/>
                <w:sz w:val="22"/>
                <w:szCs w:val="22"/>
              </w:rPr>
              <w:t xml:space="preserve"> establish a simple majority vote.  Thus, any decisions about the COI or the issue related to it must be made by at least three individuals.  </w:t>
            </w:r>
          </w:p>
          <w:p w14:paraId="5D6B8C12" w14:textId="77777777" w:rsidR="00FC7C37" w:rsidRPr="005C6C8F" w:rsidRDefault="00FC7C37" w:rsidP="00FC7C37">
            <w:pPr>
              <w:rPr>
                <w:rFonts w:ascii="Book Antiqua" w:hAnsi="Book Antiqua"/>
                <w:sz w:val="22"/>
                <w:szCs w:val="22"/>
              </w:rPr>
            </w:pPr>
          </w:p>
          <w:p w14:paraId="01E97B0A" w14:textId="77777777" w:rsidR="00FC7C37" w:rsidRPr="005C6C8F" w:rsidRDefault="00FC7C37" w:rsidP="00FC7C37">
            <w:pPr>
              <w:rPr>
                <w:rFonts w:ascii="Book Antiqua" w:hAnsi="Book Antiqua"/>
                <w:sz w:val="22"/>
                <w:szCs w:val="22"/>
              </w:rPr>
            </w:pPr>
          </w:p>
          <w:p w14:paraId="7521E2B4" w14:textId="77777777" w:rsidR="00FC7C37" w:rsidRPr="005C6C8F" w:rsidRDefault="00FC7C37" w:rsidP="00FC7C37">
            <w:pPr>
              <w:rPr>
                <w:rFonts w:ascii="Book Antiqua" w:hAnsi="Book Antiqua"/>
                <w:sz w:val="22"/>
                <w:szCs w:val="22"/>
              </w:rPr>
            </w:pPr>
          </w:p>
          <w:p w14:paraId="30031CD0" w14:textId="77777777" w:rsidR="00FC7C37" w:rsidRPr="005C6C8F" w:rsidRDefault="00FC7C37" w:rsidP="00FC7C37">
            <w:pPr>
              <w:rPr>
                <w:rFonts w:ascii="Book Antiqua" w:hAnsi="Book Antiqua"/>
                <w:sz w:val="22"/>
                <w:szCs w:val="22"/>
              </w:rPr>
            </w:pPr>
          </w:p>
          <w:p w14:paraId="02752711" w14:textId="77777777" w:rsidR="00FC7C37" w:rsidRPr="005C6C8F" w:rsidRDefault="00FC7C37" w:rsidP="00FC7C37">
            <w:pPr>
              <w:rPr>
                <w:rFonts w:ascii="Book Antiqua" w:hAnsi="Book Antiqua"/>
                <w:sz w:val="22"/>
                <w:szCs w:val="22"/>
              </w:rPr>
            </w:pPr>
          </w:p>
          <w:p w14:paraId="63685FEF" w14:textId="77777777" w:rsidR="00FC7C37" w:rsidRPr="005C6C8F" w:rsidRDefault="00FC7C37" w:rsidP="00FC7C37">
            <w:pPr>
              <w:rPr>
                <w:rFonts w:ascii="Book Antiqua" w:hAnsi="Book Antiqua"/>
                <w:sz w:val="22"/>
                <w:szCs w:val="22"/>
              </w:rPr>
            </w:pPr>
          </w:p>
          <w:p w14:paraId="36354CD6" w14:textId="77777777" w:rsidR="00FC7C37" w:rsidRPr="005C6C8F" w:rsidRDefault="00FC7C37" w:rsidP="00FC7C37">
            <w:pPr>
              <w:rPr>
                <w:rFonts w:ascii="Book Antiqua" w:hAnsi="Book Antiqua"/>
                <w:sz w:val="22"/>
                <w:szCs w:val="22"/>
              </w:rPr>
            </w:pPr>
          </w:p>
          <w:p w14:paraId="35D185A2" w14:textId="77777777" w:rsidR="00FC7C37" w:rsidRPr="005C6C8F" w:rsidRDefault="00FC7C37" w:rsidP="00FC7C37">
            <w:pPr>
              <w:rPr>
                <w:rFonts w:ascii="Book Antiqua" w:hAnsi="Book Antiqua"/>
                <w:sz w:val="22"/>
                <w:szCs w:val="22"/>
              </w:rPr>
            </w:pPr>
          </w:p>
          <w:p w14:paraId="4200742A" w14:textId="77777777" w:rsidR="00FC7C37" w:rsidRPr="005C6C8F" w:rsidRDefault="00FC7C37" w:rsidP="00FC7C37">
            <w:pPr>
              <w:rPr>
                <w:rFonts w:ascii="Book Antiqua" w:hAnsi="Book Antiqua"/>
                <w:sz w:val="22"/>
                <w:szCs w:val="22"/>
              </w:rPr>
            </w:pPr>
            <w:r w:rsidRPr="005C6C8F">
              <w:rPr>
                <w:rFonts w:ascii="Book Antiqua" w:hAnsi="Book Antiqua"/>
                <w:sz w:val="22"/>
                <w:szCs w:val="22"/>
              </w:rPr>
              <w:t xml:space="preserve"> </w:t>
            </w:r>
          </w:p>
        </w:tc>
      </w:tr>
      <w:tr w:rsidR="00FC7C37" w:rsidRPr="005C6C8F" w14:paraId="6191BD53" w14:textId="77777777" w:rsidTr="009A607B">
        <w:tc>
          <w:tcPr>
            <w:tcW w:w="5238" w:type="dxa"/>
          </w:tcPr>
          <w:p w14:paraId="7B40243C" w14:textId="77777777" w:rsidR="00FC7C37" w:rsidRDefault="00FC7C37" w:rsidP="00FC7C37">
            <w:pPr>
              <w:pStyle w:val="BodyText"/>
              <w:spacing w:line="240" w:lineRule="auto"/>
              <w:rPr>
                <w:rFonts w:ascii="Book Antiqua" w:hAnsi="Book Antiqua"/>
                <w:sz w:val="22"/>
                <w:szCs w:val="22"/>
                <w:u w:val="single"/>
              </w:rPr>
            </w:pPr>
          </w:p>
          <w:p w14:paraId="66BB12BF" w14:textId="77777777" w:rsidR="00FC7C37" w:rsidRDefault="00FC7C37" w:rsidP="00FC7C37">
            <w:pPr>
              <w:pStyle w:val="BodyText"/>
              <w:spacing w:line="240" w:lineRule="auto"/>
              <w:rPr>
                <w:rFonts w:ascii="Book Antiqua" w:hAnsi="Book Antiqua"/>
                <w:sz w:val="22"/>
                <w:szCs w:val="22"/>
                <w:u w:val="single"/>
              </w:rPr>
            </w:pPr>
            <w:r w:rsidRPr="005C6C8F">
              <w:rPr>
                <w:rFonts w:ascii="Book Antiqua" w:hAnsi="Book Antiqua"/>
                <w:sz w:val="22"/>
                <w:szCs w:val="22"/>
                <w:u w:val="single"/>
              </w:rPr>
              <w:t>Failure to Disclose</w:t>
            </w:r>
          </w:p>
          <w:p w14:paraId="31CB1A74" w14:textId="77777777" w:rsidR="00FC7C37" w:rsidRPr="005C6C8F" w:rsidRDefault="00FC7C37" w:rsidP="00FC7C37">
            <w:pPr>
              <w:pStyle w:val="BodyText"/>
              <w:spacing w:line="240" w:lineRule="auto"/>
              <w:rPr>
                <w:rFonts w:ascii="Book Antiqua" w:hAnsi="Book Antiqua"/>
                <w:sz w:val="22"/>
                <w:szCs w:val="22"/>
                <w:u w:val="single"/>
              </w:rPr>
            </w:pPr>
          </w:p>
          <w:p w14:paraId="57C2B1A6" w14:textId="77777777" w:rsidR="00FC7C37" w:rsidRDefault="00FC7C37" w:rsidP="00FC7C37">
            <w:pPr>
              <w:pStyle w:val="BodyText"/>
              <w:spacing w:line="240" w:lineRule="auto"/>
              <w:rPr>
                <w:rFonts w:ascii="Book Antiqua" w:hAnsi="Book Antiqua"/>
                <w:sz w:val="22"/>
                <w:szCs w:val="22"/>
              </w:rPr>
            </w:pPr>
            <w:r w:rsidRPr="005C6C8F">
              <w:rPr>
                <w:rFonts w:ascii="Book Antiqua" w:hAnsi="Book Antiqua"/>
                <w:sz w:val="22"/>
                <w:szCs w:val="22"/>
              </w:rPr>
              <w:t xml:space="preserve">If a Board member or committee member has reasonable cause to believe that an interested person has failed to disclose an actual or possible conflict of interest, the Board or committee member shall inform the interested person of the basis of such belief and afford the interested person an opportunity to explain the alleged failure to disclose.  If, after hearing the response of the interested person and making such further investigation as may be warranted by the circumstance, the Board shall determine that the interested person has in fact failed to disclose an actual or possible conflict of interest, the Board shall take appropriate steps to protect the WIN.  </w:t>
            </w:r>
          </w:p>
          <w:p w14:paraId="63262184" w14:textId="77777777" w:rsidR="009A607B" w:rsidRPr="005C6C8F" w:rsidRDefault="009A607B" w:rsidP="00FC7C37">
            <w:pPr>
              <w:pStyle w:val="BodyText"/>
              <w:spacing w:line="240" w:lineRule="auto"/>
              <w:rPr>
                <w:rFonts w:ascii="Book Antiqua" w:hAnsi="Book Antiqua"/>
                <w:sz w:val="22"/>
                <w:szCs w:val="22"/>
              </w:rPr>
            </w:pPr>
          </w:p>
        </w:tc>
        <w:tc>
          <w:tcPr>
            <w:tcW w:w="5400" w:type="dxa"/>
          </w:tcPr>
          <w:p w14:paraId="48E0BA97" w14:textId="77777777" w:rsidR="00FC7C37" w:rsidRPr="005C6C8F" w:rsidRDefault="00FC7C37" w:rsidP="00FC7C37">
            <w:pPr>
              <w:rPr>
                <w:rFonts w:ascii="Book Antiqua" w:hAnsi="Book Antiqua"/>
                <w:sz w:val="22"/>
                <w:szCs w:val="22"/>
              </w:rPr>
            </w:pPr>
          </w:p>
          <w:p w14:paraId="7063136F" w14:textId="77777777" w:rsidR="00FC7C37" w:rsidRDefault="00FC7C37" w:rsidP="00FC7C37">
            <w:pPr>
              <w:rPr>
                <w:rFonts w:ascii="Book Antiqua" w:hAnsi="Book Antiqua"/>
                <w:sz w:val="22"/>
                <w:szCs w:val="22"/>
              </w:rPr>
            </w:pPr>
          </w:p>
          <w:p w14:paraId="23ED8EB3" w14:textId="77777777" w:rsidR="00FC7C37" w:rsidRDefault="00FC7C37" w:rsidP="00FC7C37">
            <w:pPr>
              <w:rPr>
                <w:rFonts w:ascii="Book Antiqua" w:hAnsi="Book Antiqua"/>
                <w:sz w:val="22"/>
                <w:szCs w:val="22"/>
              </w:rPr>
            </w:pPr>
          </w:p>
          <w:p w14:paraId="6B8828CA" w14:textId="77777777" w:rsidR="00FC7C37" w:rsidRPr="005C6C8F" w:rsidRDefault="00FC7C37" w:rsidP="00FC7C37">
            <w:pPr>
              <w:rPr>
                <w:rFonts w:ascii="Book Antiqua" w:hAnsi="Book Antiqua"/>
                <w:sz w:val="22"/>
                <w:szCs w:val="22"/>
              </w:rPr>
            </w:pPr>
            <w:r w:rsidRPr="005C6C8F">
              <w:rPr>
                <w:rFonts w:ascii="Book Antiqua" w:hAnsi="Book Antiqua"/>
                <w:sz w:val="22"/>
                <w:szCs w:val="22"/>
              </w:rPr>
              <w:t xml:space="preserve">The WIN must act to protect its integrity by ensuring that no decision is made where a COI exists.  To </w:t>
            </w:r>
            <w:proofErr w:type="gramStart"/>
            <w:r w:rsidRPr="005C6C8F">
              <w:rPr>
                <w:rFonts w:ascii="Book Antiqua" w:hAnsi="Book Antiqua"/>
                <w:sz w:val="22"/>
                <w:szCs w:val="22"/>
              </w:rPr>
              <w:t>make a decision</w:t>
            </w:r>
            <w:proofErr w:type="gramEnd"/>
            <w:r w:rsidRPr="005C6C8F">
              <w:rPr>
                <w:rFonts w:ascii="Book Antiqua" w:hAnsi="Book Antiqua"/>
                <w:sz w:val="22"/>
                <w:szCs w:val="22"/>
              </w:rPr>
              <w:t xml:space="preserve"> where one or more members of the Board or a committee </w:t>
            </w:r>
            <w:proofErr w:type="gramStart"/>
            <w:r w:rsidRPr="005C6C8F">
              <w:rPr>
                <w:rFonts w:ascii="Book Antiqua" w:hAnsi="Book Antiqua"/>
                <w:sz w:val="22"/>
                <w:szCs w:val="22"/>
              </w:rPr>
              <w:t>has</w:t>
            </w:r>
            <w:proofErr w:type="gramEnd"/>
            <w:r w:rsidRPr="005C6C8F">
              <w:rPr>
                <w:rFonts w:ascii="Book Antiqua" w:hAnsi="Book Antiqua"/>
                <w:sz w:val="22"/>
                <w:szCs w:val="22"/>
              </w:rPr>
              <w:t xml:space="preserve"> a COI would call into question the credibility of the WIN and, thus, compromise its ability to transact business.  When the outlined measures fail to prevent </w:t>
            </w:r>
            <w:proofErr w:type="gramStart"/>
            <w:r w:rsidRPr="005C6C8F">
              <w:rPr>
                <w:rFonts w:ascii="Book Antiqua" w:hAnsi="Book Antiqua"/>
                <w:sz w:val="22"/>
                <w:szCs w:val="22"/>
              </w:rPr>
              <w:t>making a decision</w:t>
            </w:r>
            <w:proofErr w:type="gramEnd"/>
            <w:r w:rsidRPr="005C6C8F">
              <w:rPr>
                <w:rFonts w:ascii="Book Antiqua" w:hAnsi="Book Antiqua"/>
                <w:sz w:val="22"/>
                <w:szCs w:val="22"/>
              </w:rPr>
              <w:t xml:space="preserve"> in the presence of a COI, the Board must address the issue to maintain the WIN’s good name.  </w:t>
            </w:r>
          </w:p>
        </w:tc>
      </w:tr>
      <w:tr w:rsidR="00FC7C37" w:rsidRPr="005C6C8F" w14:paraId="64228241" w14:textId="77777777" w:rsidTr="009A607B">
        <w:tc>
          <w:tcPr>
            <w:tcW w:w="5238" w:type="dxa"/>
          </w:tcPr>
          <w:p w14:paraId="2F190161" w14:textId="77777777" w:rsidR="00FC7C37" w:rsidRDefault="00FC7C37" w:rsidP="00FC7C37">
            <w:pPr>
              <w:pStyle w:val="BodyText"/>
              <w:spacing w:line="240" w:lineRule="auto"/>
              <w:rPr>
                <w:rFonts w:ascii="Book Antiqua" w:hAnsi="Book Antiqua"/>
                <w:sz w:val="22"/>
                <w:szCs w:val="22"/>
                <w:u w:val="single"/>
              </w:rPr>
            </w:pPr>
          </w:p>
          <w:p w14:paraId="6D56B31D" w14:textId="77777777" w:rsidR="00FC7C37" w:rsidRDefault="00FC7C37" w:rsidP="00FC7C37">
            <w:pPr>
              <w:pStyle w:val="BodyText"/>
              <w:spacing w:line="240" w:lineRule="auto"/>
              <w:rPr>
                <w:rFonts w:ascii="Book Antiqua" w:hAnsi="Book Antiqua"/>
                <w:sz w:val="22"/>
                <w:szCs w:val="22"/>
                <w:u w:val="single"/>
              </w:rPr>
            </w:pPr>
            <w:r w:rsidRPr="005C6C8F">
              <w:rPr>
                <w:rFonts w:ascii="Book Antiqua" w:hAnsi="Book Antiqua"/>
                <w:sz w:val="22"/>
                <w:szCs w:val="22"/>
                <w:u w:val="single"/>
              </w:rPr>
              <w:t>Record of Actions</w:t>
            </w:r>
          </w:p>
          <w:p w14:paraId="32224750" w14:textId="77777777" w:rsidR="00FC7C37" w:rsidRPr="005C6C8F" w:rsidRDefault="00FC7C37" w:rsidP="00FC7C37">
            <w:pPr>
              <w:pStyle w:val="BodyText"/>
              <w:spacing w:line="240" w:lineRule="auto"/>
              <w:rPr>
                <w:rFonts w:ascii="Book Antiqua" w:hAnsi="Book Antiqua"/>
                <w:sz w:val="22"/>
                <w:szCs w:val="22"/>
                <w:u w:val="single"/>
              </w:rPr>
            </w:pPr>
          </w:p>
          <w:p w14:paraId="68169191" w14:textId="77777777" w:rsidR="00FC7C37" w:rsidRPr="005C6C8F" w:rsidRDefault="00FC7C37" w:rsidP="00FC7C37">
            <w:pPr>
              <w:pStyle w:val="BodyText"/>
              <w:spacing w:line="240" w:lineRule="auto"/>
              <w:rPr>
                <w:rFonts w:ascii="Book Antiqua" w:hAnsi="Book Antiqua"/>
                <w:sz w:val="22"/>
                <w:szCs w:val="22"/>
              </w:rPr>
            </w:pPr>
            <w:r w:rsidRPr="005C6C8F">
              <w:rPr>
                <w:rFonts w:ascii="Book Antiqua" w:hAnsi="Book Antiqua"/>
                <w:sz w:val="22"/>
                <w:szCs w:val="22"/>
              </w:rPr>
              <w:t xml:space="preserve">The minutes of the Board shall contain the name of person(s) who disclosed or otherwise were found to have an actual or possible conflict of interest, the nature of the conflict, any action taken to determine whether a conflict of interest was present, the </w:t>
            </w:r>
            <w:r w:rsidRPr="005C6C8F">
              <w:rPr>
                <w:rFonts w:ascii="Book Antiqua" w:hAnsi="Book Antiqua"/>
                <w:sz w:val="22"/>
                <w:szCs w:val="22"/>
              </w:rPr>
              <w:lastRenderedPageBreak/>
              <w:t xml:space="preserve">Board’s decision as to whether a conflict of interest in fact existed, and any action taken by the Board as a consequence the conflict of interest.  </w:t>
            </w:r>
          </w:p>
        </w:tc>
        <w:tc>
          <w:tcPr>
            <w:tcW w:w="5400" w:type="dxa"/>
          </w:tcPr>
          <w:p w14:paraId="44DB48C8" w14:textId="77777777" w:rsidR="00FC7C37" w:rsidRPr="005C6C8F" w:rsidRDefault="00FC7C37" w:rsidP="00FC7C37">
            <w:pPr>
              <w:rPr>
                <w:rFonts w:ascii="Book Antiqua" w:hAnsi="Book Antiqua"/>
                <w:sz w:val="22"/>
                <w:szCs w:val="22"/>
              </w:rPr>
            </w:pPr>
          </w:p>
          <w:p w14:paraId="2B840A15" w14:textId="77777777" w:rsidR="00FC7C37" w:rsidRDefault="00FC7C37" w:rsidP="00FC7C37">
            <w:pPr>
              <w:rPr>
                <w:rFonts w:ascii="Book Antiqua" w:hAnsi="Book Antiqua"/>
                <w:sz w:val="22"/>
                <w:szCs w:val="22"/>
              </w:rPr>
            </w:pPr>
          </w:p>
          <w:p w14:paraId="038390EA" w14:textId="77777777" w:rsidR="00FC7C37" w:rsidRDefault="00FC7C37" w:rsidP="00FC7C37">
            <w:pPr>
              <w:rPr>
                <w:rFonts w:ascii="Book Antiqua" w:hAnsi="Book Antiqua"/>
                <w:sz w:val="22"/>
                <w:szCs w:val="22"/>
              </w:rPr>
            </w:pPr>
          </w:p>
          <w:p w14:paraId="695B06D8" w14:textId="77777777" w:rsidR="00FC7C37" w:rsidRPr="005C6C8F" w:rsidRDefault="00FC7C37" w:rsidP="00FC7C37">
            <w:pPr>
              <w:rPr>
                <w:rFonts w:ascii="Book Antiqua" w:hAnsi="Book Antiqua"/>
                <w:sz w:val="22"/>
                <w:szCs w:val="22"/>
              </w:rPr>
            </w:pPr>
            <w:r w:rsidRPr="005C6C8F">
              <w:rPr>
                <w:rFonts w:ascii="Book Antiqua" w:hAnsi="Book Antiqua"/>
                <w:sz w:val="22"/>
                <w:szCs w:val="22"/>
              </w:rPr>
              <w:t xml:space="preserve">Should a decision be called into question, the record will show that the Board followed WIN policy to identify and prevent any COI from influencing Board and committee decisions.    </w:t>
            </w:r>
          </w:p>
        </w:tc>
      </w:tr>
    </w:tbl>
    <w:p w14:paraId="1AEBE623" w14:textId="77777777" w:rsidR="00FC7C37" w:rsidRDefault="00FC7C37" w:rsidP="00FC7C37">
      <w:pPr>
        <w:pStyle w:val="BodyText"/>
        <w:spacing w:line="240" w:lineRule="auto"/>
        <w:jc w:val="center"/>
        <w:rPr>
          <w:rFonts w:ascii="Book Antiqua" w:hAnsi="Book Antiqua"/>
          <w:sz w:val="22"/>
          <w:szCs w:val="22"/>
        </w:rPr>
      </w:pPr>
      <w:r w:rsidRPr="005C6C8F">
        <w:rPr>
          <w:rFonts w:ascii="Book Antiqua" w:hAnsi="Book Antiqua"/>
          <w:sz w:val="22"/>
          <w:szCs w:val="22"/>
        </w:rPr>
        <w:t xml:space="preserve"> </w:t>
      </w:r>
    </w:p>
    <w:p w14:paraId="66E87D1E" w14:textId="77777777" w:rsidR="00FC7C37" w:rsidRDefault="00FC7C37" w:rsidP="00FC7C37">
      <w:pPr>
        <w:pStyle w:val="BodyText"/>
        <w:spacing w:line="240" w:lineRule="auto"/>
        <w:rPr>
          <w:rFonts w:ascii="Book Antiqua" w:hAnsi="Book Antiqua"/>
          <w:sz w:val="22"/>
          <w:szCs w:val="22"/>
        </w:rPr>
      </w:pPr>
      <w:r>
        <w:rPr>
          <w:rFonts w:ascii="Book Antiqua" w:hAnsi="Book Antiqua"/>
          <w:sz w:val="22"/>
          <w:szCs w:val="22"/>
        </w:rPr>
        <w:t xml:space="preserve">I have read this statement and believe that I </w:t>
      </w:r>
      <w:proofErr w:type="gramStart"/>
      <w:r>
        <w:rPr>
          <w:rFonts w:ascii="Book Antiqua" w:hAnsi="Book Antiqua"/>
          <w:sz w:val="22"/>
          <w:szCs w:val="22"/>
        </w:rPr>
        <w:t>am in compliance</w:t>
      </w:r>
      <w:proofErr w:type="gramEnd"/>
      <w:r>
        <w:rPr>
          <w:rFonts w:ascii="Book Antiqua" w:hAnsi="Book Antiqua"/>
          <w:sz w:val="22"/>
          <w:szCs w:val="22"/>
        </w:rPr>
        <w:t>.  If I find that at some future time I am not in compliance, I will immediately notify the WIN Board of Governors.</w:t>
      </w:r>
    </w:p>
    <w:p w14:paraId="0014CEC7" w14:textId="77777777" w:rsidR="009A607B" w:rsidRDefault="009A607B" w:rsidP="00FC7C37">
      <w:pPr>
        <w:pStyle w:val="BodyText"/>
        <w:spacing w:line="240" w:lineRule="auto"/>
        <w:rPr>
          <w:rFonts w:ascii="Book Antiqua" w:hAnsi="Book Antiqua"/>
          <w:sz w:val="22"/>
          <w:szCs w:val="22"/>
        </w:rPr>
      </w:pPr>
    </w:p>
    <w:p w14:paraId="394D6AD4" w14:textId="77777777" w:rsidR="009A607B" w:rsidRDefault="009A607B" w:rsidP="00FC7C37">
      <w:pPr>
        <w:pStyle w:val="BodyText"/>
        <w:spacing w:line="240" w:lineRule="auto"/>
        <w:rPr>
          <w:rFonts w:ascii="Book Antiqua" w:hAnsi="Book Antiqua"/>
          <w:sz w:val="22"/>
          <w:szCs w:val="22"/>
        </w:rPr>
      </w:pPr>
    </w:p>
    <w:p w14:paraId="6A082C3E" w14:textId="77777777" w:rsidR="00FC7C37" w:rsidRDefault="00FC7C37" w:rsidP="00FC7C37">
      <w:pPr>
        <w:pStyle w:val="BodyText"/>
        <w:spacing w:line="240" w:lineRule="auto"/>
        <w:rPr>
          <w:rFonts w:ascii="Book Antiqua" w:hAnsi="Book Antiqua"/>
          <w:sz w:val="22"/>
          <w:szCs w:val="22"/>
        </w:rPr>
      </w:pPr>
    </w:p>
    <w:p w14:paraId="56963D35" w14:textId="77777777" w:rsidR="00FC7C37" w:rsidRDefault="009325EA" w:rsidP="00FC7C37">
      <w:pPr>
        <w:pStyle w:val="BodyText"/>
        <w:spacing w:line="240" w:lineRule="auto"/>
        <w:rPr>
          <w:rFonts w:ascii="Book Antiqua" w:hAnsi="Book Antiqua"/>
          <w:sz w:val="22"/>
          <w:szCs w:val="22"/>
        </w:rPr>
      </w:pPr>
      <w:r>
        <w:rPr>
          <w:rFonts w:ascii="Book Antiqua" w:hAnsi="Book Antiqua"/>
          <w:sz w:val="22"/>
          <w:szCs w:val="22"/>
        </w:rPr>
        <w:pict w14:anchorId="0F9426B0">
          <v:rect id="_x0000_i1025" style="width:0;height:1.5pt" o:hralign="center" o:hrstd="t" o:hr="t" fillcolor="gray" stroked="f"/>
        </w:pict>
      </w:r>
    </w:p>
    <w:p w14:paraId="5CB70FAA" w14:textId="77777777" w:rsidR="00FC7C37" w:rsidRDefault="009A607B" w:rsidP="009A607B">
      <w:pPr>
        <w:pStyle w:val="BodyText"/>
        <w:tabs>
          <w:tab w:val="left" w:pos="3600"/>
          <w:tab w:val="left" w:pos="6480"/>
        </w:tabs>
        <w:spacing w:line="240" w:lineRule="auto"/>
        <w:rPr>
          <w:rFonts w:ascii="Book Antiqua" w:hAnsi="Book Antiqua"/>
          <w:sz w:val="22"/>
          <w:szCs w:val="22"/>
        </w:rPr>
      </w:pPr>
      <w:r>
        <w:rPr>
          <w:rFonts w:ascii="Book Antiqua" w:hAnsi="Book Antiqua"/>
          <w:sz w:val="22"/>
          <w:szCs w:val="22"/>
        </w:rPr>
        <w:t>Name</w:t>
      </w:r>
      <w:r>
        <w:rPr>
          <w:rFonts w:ascii="Book Antiqua" w:hAnsi="Book Antiqua"/>
          <w:sz w:val="22"/>
          <w:szCs w:val="22"/>
        </w:rPr>
        <w:tab/>
      </w:r>
      <w:r w:rsidR="00FC7C37">
        <w:rPr>
          <w:rFonts w:ascii="Book Antiqua" w:hAnsi="Book Antiqua"/>
          <w:sz w:val="22"/>
          <w:szCs w:val="22"/>
        </w:rPr>
        <w:t>Signature</w:t>
      </w:r>
      <w:r w:rsidR="00FC7C37">
        <w:rPr>
          <w:rFonts w:ascii="Book Antiqua" w:hAnsi="Book Antiqua"/>
          <w:sz w:val="22"/>
          <w:szCs w:val="22"/>
        </w:rPr>
        <w:tab/>
      </w:r>
      <w:r w:rsidR="00FC7C37">
        <w:rPr>
          <w:rFonts w:ascii="Book Antiqua" w:hAnsi="Book Antiqua"/>
          <w:sz w:val="22"/>
          <w:szCs w:val="22"/>
        </w:rPr>
        <w:tab/>
      </w:r>
      <w:r w:rsidR="00FC7C37">
        <w:rPr>
          <w:rFonts w:ascii="Book Antiqua" w:hAnsi="Book Antiqua"/>
          <w:sz w:val="22"/>
          <w:szCs w:val="22"/>
        </w:rPr>
        <w:tab/>
        <w:t>Date</w:t>
      </w:r>
    </w:p>
    <w:p w14:paraId="75E0DECC" w14:textId="77777777" w:rsidR="00F51993" w:rsidRDefault="00F51993" w:rsidP="009A607B">
      <w:pPr>
        <w:pStyle w:val="BodyText"/>
        <w:tabs>
          <w:tab w:val="left" w:pos="3600"/>
          <w:tab w:val="left" w:pos="6480"/>
        </w:tabs>
        <w:spacing w:line="240" w:lineRule="auto"/>
        <w:rPr>
          <w:rFonts w:ascii="Book Antiqua" w:hAnsi="Book Antiqua"/>
          <w:sz w:val="22"/>
          <w:szCs w:val="22"/>
        </w:rPr>
      </w:pPr>
    </w:p>
    <w:p w14:paraId="4ED0237B" w14:textId="77777777" w:rsidR="00F51993" w:rsidRDefault="00F51993" w:rsidP="009A607B">
      <w:pPr>
        <w:pStyle w:val="BodyText"/>
        <w:tabs>
          <w:tab w:val="left" w:pos="3600"/>
          <w:tab w:val="left" w:pos="6480"/>
        </w:tabs>
        <w:spacing w:line="240" w:lineRule="auto"/>
        <w:rPr>
          <w:rFonts w:ascii="Book Antiqua" w:hAnsi="Book Antiqua"/>
          <w:sz w:val="22"/>
          <w:szCs w:val="22"/>
        </w:rPr>
      </w:pPr>
    </w:p>
    <w:p w14:paraId="21EE0AC4" w14:textId="77777777" w:rsidR="00F51993" w:rsidRDefault="00F51993" w:rsidP="009A607B">
      <w:pPr>
        <w:pStyle w:val="BodyText"/>
        <w:tabs>
          <w:tab w:val="left" w:pos="3600"/>
          <w:tab w:val="left" w:pos="6480"/>
        </w:tabs>
        <w:spacing w:line="240" w:lineRule="auto"/>
        <w:rPr>
          <w:rFonts w:ascii="Book Antiqua" w:hAnsi="Book Antiqua"/>
          <w:sz w:val="22"/>
          <w:szCs w:val="22"/>
        </w:rPr>
      </w:pPr>
      <w:r>
        <w:rPr>
          <w:rFonts w:ascii="Book Antiqua" w:hAnsi="Book Antiqua"/>
          <w:sz w:val="22"/>
          <w:szCs w:val="22"/>
        </w:rPr>
        <w:t>Approved: Board of Governors</w:t>
      </w:r>
    </w:p>
    <w:p w14:paraId="441FB5F4" w14:textId="77777777" w:rsidR="00F51993" w:rsidRPr="005C6C8F" w:rsidRDefault="00F51993" w:rsidP="009A607B">
      <w:pPr>
        <w:pStyle w:val="BodyText"/>
        <w:tabs>
          <w:tab w:val="left" w:pos="3600"/>
          <w:tab w:val="left" w:pos="6480"/>
        </w:tabs>
        <w:spacing w:line="240" w:lineRule="auto"/>
        <w:rPr>
          <w:rFonts w:ascii="Book Antiqua" w:hAnsi="Book Antiqua"/>
          <w:sz w:val="22"/>
          <w:szCs w:val="22"/>
        </w:rPr>
      </w:pPr>
      <w:r>
        <w:rPr>
          <w:rFonts w:ascii="Book Antiqua" w:hAnsi="Book Antiqua"/>
          <w:sz w:val="22"/>
          <w:szCs w:val="22"/>
        </w:rPr>
        <w:t>April 22, 2009</w:t>
      </w:r>
    </w:p>
    <w:sectPr w:rsidR="00F51993" w:rsidRPr="005C6C8F" w:rsidSect="009A607B">
      <w:footerReference w:type="even"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62D5F" w14:textId="77777777" w:rsidR="008D67FF" w:rsidRDefault="008D67FF">
      <w:r>
        <w:separator/>
      </w:r>
    </w:p>
  </w:endnote>
  <w:endnote w:type="continuationSeparator" w:id="0">
    <w:p w14:paraId="2DE5EA04" w14:textId="77777777" w:rsidR="008D67FF" w:rsidRDefault="008D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CF24" w14:textId="77777777" w:rsidR="009A607B" w:rsidRDefault="009A607B" w:rsidP="00FC7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B7F1A" w14:textId="77777777" w:rsidR="009A607B" w:rsidRDefault="009A6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4A4B" w14:textId="77777777" w:rsidR="009A607B" w:rsidRDefault="009A607B" w:rsidP="00FC7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C7A">
      <w:rPr>
        <w:rStyle w:val="PageNumber"/>
        <w:noProof/>
      </w:rPr>
      <w:t>2</w:t>
    </w:r>
    <w:r>
      <w:rPr>
        <w:rStyle w:val="PageNumber"/>
      </w:rPr>
      <w:fldChar w:fldCharType="end"/>
    </w:r>
  </w:p>
  <w:p w14:paraId="3F73F09E" w14:textId="77777777" w:rsidR="009A607B" w:rsidRDefault="009A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0672" w14:textId="77777777" w:rsidR="008D67FF" w:rsidRDefault="008D67FF">
      <w:r>
        <w:separator/>
      </w:r>
    </w:p>
  </w:footnote>
  <w:footnote w:type="continuationSeparator" w:id="0">
    <w:p w14:paraId="02747381" w14:textId="77777777" w:rsidR="008D67FF" w:rsidRDefault="008D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B5A37"/>
    <w:multiLevelType w:val="singleLevel"/>
    <w:tmpl w:val="7982036E"/>
    <w:lvl w:ilvl="0">
      <w:start w:val="1"/>
      <w:numFmt w:val="lowerLetter"/>
      <w:lvlText w:val="(%1)"/>
      <w:lvlJc w:val="left"/>
      <w:pPr>
        <w:tabs>
          <w:tab w:val="num" w:pos="360"/>
        </w:tabs>
        <w:ind w:left="360" w:hanging="360"/>
      </w:pPr>
      <w:rPr>
        <w:rFonts w:hint="default"/>
      </w:rPr>
    </w:lvl>
  </w:abstractNum>
  <w:num w:numId="1" w16cid:durableId="127791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BD2"/>
    <w:rsid w:val="000C5ADD"/>
    <w:rsid w:val="0013709C"/>
    <w:rsid w:val="00275B8A"/>
    <w:rsid w:val="00394C7A"/>
    <w:rsid w:val="0075729F"/>
    <w:rsid w:val="007E0FFA"/>
    <w:rsid w:val="008D67FF"/>
    <w:rsid w:val="009325EA"/>
    <w:rsid w:val="009A607B"/>
    <w:rsid w:val="00A44870"/>
    <w:rsid w:val="00AF6662"/>
    <w:rsid w:val="00CC60D1"/>
    <w:rsid w:val="00CF7BD2"/>
    <w:rsid w:val="00F51993"/>
    <w:rsid w:val="00FC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FB72F6"/>
  <w15:chartTrackingRefBased/>
  <w15:docId w15:val="{5F9025F5-F2B5-4E41-9416-B4624765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sz w:val="24"/>
    </w:rPr>
  </w:style>
  <w:style w:type="paragraph" w:styleId="Heading2">
    <w:name w:val="heading 2"/>
    <w:basedOn w:val="Normal"/>
    <w:next w:val="Normal"/>
    <w:qFormat/>
    <w:pPr>
      <w:keepNext/>
      <w:spacing w:line="480" w:lineRule="auto"/>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CF7BD2"/>
    <w:rPr>
      <w:rFonts w:ascii="Tahoma" w:hAnsi="Tahoma" w:cs="Tahoma"/>
      <w:sz w:val="16"/>
      <w:szCs w:val="16"/>
    </w:rPr>
  </w:style>
  <w:style w:type="paragraph" w:styleId="Footer">
    <w:name w:val="footer"/>
    <w:basedOn w:val="Normal"/>
    <w:rsid w:val="0069718F"/>
    <w:pPr>
      <w:tabs>
        <w:tab w:val="center" w:pos="4320"/>
        <w:tab w:val="right" w:pos="8640"/>
      </w:tabs>
    </w:pPr>
  </w:style>
  <w:style w:type="character" w:styleId="PageNumber">
    <w:name w:val="page number"/>
    <w:basedOn w:val="DefaultParagraphFont"/>
    <w:rsid w:val="0069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CONFLICT OF INTEREST POLICY STATEMENT</vt:lpstr>
    </vt:vector>
  </TitlesOfParts>
  <Company>OHSU</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STATEMENT</dc:title>
  <dc:subject/>
  <dc:creator>Valued Gateway 2000 Customer</dc:creator>
  <cp:keywords/>
  <cp:lastModifiedBy>Bo Perry</cp:lastModifiedBy>
  <cp:revision>3</cp:revision>
  <cp:lastPrinted>2008-05-07T20:57:00Z</cp:lastPrinted>
  <dcterms:created xsi:type="dcterms:W3CDTF">2024-06-05T19:03:00Z</dcterms:created>
  <dcterms:modified xsi:type="dcterms:W3CDTF">2025-07-23T20:50:00Z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208545721</vt:i4>
  </property>
  <property fmtid="{D5CDD505-2E9C-101B-9397-08002B2CF9AE}" pid="3" name="_EmailSubject">
    <vt:lpwstr>Conflict of Interest</vt:lpwstr>
  </property>
  <property fmtid="{D5CDD505-2E9C-101B-9397-08002B2CF9AE}" pid="4" name="_AuthorEmail">
    <vt:lpwstr>diane@nsna.org</vt:lpwstr>
  </property>
  <property fmtid="{D5CDD505-2E9C-101B-9397-08002B2CF9AE}" pid="5" name="_AuthorEmailDisplayName">
    <vt:lpwstr>diane</vt:lpwstr>
  </property>
  <property fmtid="{D5CDD505-2E9C-101B-9397-08002B2CF9AE}" pid="6" name="_ReviewingToolsShownOnce">
    <vt:lpwstr/>
  </property>
</Properties>
</file>