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0CD03F2B"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75D40">
        <w:rPr>
          <w:rFonts w:ascii="Poppins SemiBold" w:hAnsi="Poppins SemiBold" w:cs="Poppins SemiBold"/>
          <w:noProof/>
          <w:sz w:val="32"/>
          <w:szCs w:val="32"/>
        </w:rPr>
        <w:t>September</w:t>
      </w:r>
      <w:r w:rsidR="005777A8">
        <w:rPr>
          <w:rFonts w:ascii="Poppins SemiBold" w:hAnsi="Poppins SemiBold" w:cs="Poppins SemiBold"/>
          <w:noProof/>
          <w:sz w:val="32"/>
          <w:szCs w:val="32"/>
        </w:rPr>
        <w:t xml:space="preserve"> 16</w:t>
      </w:r>
      <w:r w:rsidRPr="00736378">
        <w:rPr>
          <w:rFonts w:ascii="Poppins SemiBold" w:hAnsi="Poppins SemiBold" w:cs="Poppins SemiBold"/>
          <w:noProof/>
          <w:sz w:val="32"/>
          <w:szCs w:val="32"/>
        </w:rPr>
        <w:t>, 2024</w:t>
      </w:r>
    </w:p>
    <w:p w14:paraId="0A34624B" w14:textId="575AB3ED" w:rsidR="005A732C" w:rsidRPr="005A732C" w:rsidRDefault="2EE3F5B9" w:rsidP="472991B2">
      <w:pPr>
        <w:pStyle w:val="ListParagraph"/>
        <w:numPr>
          <w:ilvl w:val="0"/>
          <w:numId w:val="30"/>
        </w:numPr>
        <w:spacing w:after="0"/>
        <w:rPr>
          <w:rFonts w:ascii="Poppins Medium" w:hAnsi="Poppins Medium" w:cs="Poppins Medium"/>
          <w:color w:val="0F4761" w:themeColor="accent1" w:themeShade="BF"/>
          <w:sz w:val="24"/>
          <w:szCs w:val="24"/>
        </w:rPr>
      </w:pPr>
      <w:r w:rsidRPr="2EE3F5B9">
        <w:rPr>
          <w:rFonts w:ascii="Poppins Medium" w:hAnsi="Poppins Medium" w:cs="Poppins Medium"/>
          <w:color w:val="0F4761" w:themeColor="accent1" w:themeShade="BF"/>
          <w:sz w:val="24"/>
          <w:szCs w:val="24"/>
        </w:rPr>
        <w:t>FDA Authorizes Over-the-Counter Hearing Aid Software with Apple</w:t>
      </w:r>
      <w:r w:rsidRPr="2EE3F5B9">
        <w:rPr>
          <w:rFonts w:ascii="Poppins Medium" w:eastAsia="Poppins Medium" w:hAnsi="Poppins Medium" w:cs="Poppins Medium"/>
          <w:color w:val="0F4761" w:themeColor="accent1" w:themeShade="BF"/>
          <w:sz w:val="24"/>
          <w:szCs w:val="24"/>
        </w:rPr>
        <w:t xml:space="preserve"> </w:t>
      </w:r>
      <w:proofErr w:type="spellStart"/>
      <w:r w:rsidRPr="2EE3F5B9">
        <w:rPr>
          <w:rFonts w:ascii="Poppins Medium" w:eastAsia="Poppins Medium" w:hAnsi="Poppins Medium" w:cs="Poppins Medium"/>
          <w:color w:val="0F4761" w:themeColor="accent1" w:themeShade="BF"/>
          <w:sz w:val="24"/>
          <w:szCs w:val="24"/>
        </w:rPr>
        <w:t>AirPods</w:t>
      </w:r>
      <w:proofErr w:type="spellEnd"/>
      <w:r w:rsidRPr="2EE3F5B9">
        <w:rPr>
          <w:rFonts w:ascii="Poppins Medium" w:eastAsia="Poppins Medium" w:hAnsi="Poppins Medium" w:cs="Poppins Medium"/>
          <w:color w:val="0F4761" w:themeColor="accent1" w:themeShade="BF"/>
          <w:sz w:val="24"/>
          <w:szCs w:val="24"/>
        </w:rPr>
        <w:t xml:space="preserve"> Pro</w:t>
      </w:r>
    </w:p>
    <w:p w14:paraId="43F75193" w14:textId="518F0070" w:rsidR="003E3441" w:rsidRPr="003E3505" w:rsidRDefault="3EE6831C" w:rsidP="003E3505">
      <w:pPr>
        <w:spacing w:after="0" w:line="240" w:lineRule="auto"/>
        <w:ind w:left="360"/>
        <w:rPr>
          <w:rFonts w:eastAsiaTheme="minorEastAsia" w:cs="Poppins"/>
          <w:szCs w:val="20"/>
        </w:rPr>
      </w:pPr>
      <w:r w:rsidRPr="003E3505">
        <w:rPr>
          <w:rFonts w:eastAsiaTheme="minorEastAsia" w:cs="Poppins"/>
          <w:szCs w:val="20"/>
        </w:rPr>
        <w:t xml:space="preserve">Last week, the U.S. Food and Drug Administration (FDA) </w:t>
      </w:r>
      <w:hyperlink r:id="rId8">
        <w:r w:rsidRPr="003E3505">
          <w:rPr>
            <w:rStyle w:val="Hyperlink"/>
            <w:rFonts w:eastAsiaTheme="minorEastAsia" w:cs="Poppins"/>
            <w:color w:val="467886"/>
            <w:szCs w:val="20"/>
          </w:rPr>
          <w:t>authorized</w:t>
        </w:r>
      </w:hyperlink>
      <w:r w:rsidRPr="003E3505">
        <w:rPr>
          <w:rFonts w:eastAsiaTheme="minorEastAsia" w:cs="Poppins"/>
          <w:szCs w:val="20"/>
        </w:rPr>
        <w:t xml:space="preserve"> the Hearing Aid Feature (HAF), an over-the-counter (OTC) software designed for use with Apple </w:t>
      </w:r>
      <w:proofErr w:type="spellStart"/>
      <w:r w:rsidRPr="003E3505">
        <w:rPr>
          <w:rFonts w:eastAsiaTheme="minorEastAsia" w:cs="Poppins"/>
          <w:szCs w:val="20"/>
        </w:rPr>
        <w:t>AirPods</w:t>
      </w:r>
      <w:proofErr w:type="spellEnd"/>
      <w:r w:rsidRPr="003E3505">
        <w:rPr>
          <w:rFonts w:eastAsiaTheme="minorEastAsia" w:cs="Poppins"/>
          <w:szCs w:val="20"/>
        </w:rPr>
        <w:t xml:space="preserve"> Pro headphones, to function as a hearing aid for adults with mild to moderate hearing loss. The HAF, which can be customized by users through an iOS device, allows individuals to adjust sound settings without professional assistance. More than 30 million American adults report some degree of hearing loss, which can often be linked to cognitive decline and depression. This authorization is part of the FDA's effort to improve access to hearing aids and promote innovation in hearing support. A clinical study with 118 participants showed that the self-fitting HAF provided benefits comparable to those of professionally fitted hearing aids, with no adverse events reported. The approval underscores the FDA’s commitment to expanding access to health technologies and advancing health equity.</w:t>
      </w:r>
    </w:p>
    <w:p w14:paraId="7B14BA39" w14:textId="77777777" w:rsidR="00631D2A" w:rsidRPr="00631D2A" w:rsidRDefault="00631D2A" w:rsidP="00631D2A">
      <w:pPr>
        <w:spacing w:after="0"/>
        <w:ind w:left="360"/>
        <w:rPr>
          <w:rFonts w:asciiTheme="minorHAnsi" w:eastAsiaTheme="minorEastAsia" w:hAnsiTheme="minorHAnsi"/>
          <w:szCs w:val="20"/>
        </w:rPr>
      </w:pPr>
    </w:p>
    <w:p w14:paraId="5942ACD6" w14:textId="138B7F21" w:rsidR="006C6B7F" w:rsidRPr="006C6B7F" w:rsidRDefault="450032BD" w:rsidP="003E3505">
      <w:pPr>
        <w:pStyle w:val="ListParagraph"/>
        <w:numPr>
          <w:ilvl w:val="0"/>
          <w:numId w:val="30"/>
        </w:numPr>
        <w:spacing w:after="0"/>
        <w:rPr>
          <w:rFonts w:ascii="Poppins Medium" w:hAnsi="Poppins Medium" w:cs="Poppins Medium"/>
          <w:color w:val="0F4761" w:themeColor="accent1" w:themeShade="BF"/>
          <w:sz w:val="24"/>
          <w:szCs w:val="24"/>
        </w:rPr>
      </w:pPr>
      <w:r w:rsidRPr="450032BD">
        <w:rPr>
          <w:rFonts w:ascii="Poppins Medium" w:hAnsi="Poppins Medium" w:cs="Poppins Medium"/>
          <w:color w:val="0F4761" w:themeColor="accent1" w:themeShade="BF"/>
          <w:sz w:val="24"/>
          <w:szCs w:val="24"/>
        </w:rPr>
        <w:t>U.S. Department of Education Announces Disability Innovation Fund Program</w:t>
      </w:r>
    </w:p>
    <w:p w14:paraId="13F6947C" w14:textId="1F049604" w:rsidR="450032BD" w:rsidRPr="003E3505" w:rsidRDefault="472991B2" w:rsidP="003E3505">
      <w:pPr>
        <w:spacing w:after="0" w:line="240" w:lineRule="auto"/>
        <w:ind w:left="360"/>
        <w:rPr>
          <w:rFonts w:eastAsiaTheme="minorEastAsia" w:cs="Poppins"/>
          <w:szCs w:val="20"/>
        </w:rPr>
      </w:pPr>
      <w:r w:rsidRPr="003E3505">
        <w:rPr>
          <w:rFonts w:eastAsiaTheme="minorEastAsia" w:cs="Poppins"/>
          <w:szCs w:val="20"/>
        </w:rPr>
        <w:t>The U.S. Department of Education Rehabilitative Services Administration</w:t>
      </w:r>
      <w:r w:rsidRPr="003E3505">
        <w:rPr>
          <w:rFonts w:eastAsiaTheme="minorEastAsia" w:cs="Poppins"/>
          <w:color w:val="467886"/>
          <w:szCs w:val="20"/>
          <w:u w:val="single"/>
        </w:rPr>
        <w:t xml:space="preserve"> </w:t>
      </w:r>
      <w:hyperlink r:id="rId9">
        <w:r w:rsidRPr="003E3505">
          <w:rPr>
            <w:rFonts w:eastAsiaTheme="minorEastAsia" w:cs="Poppins"/>
            <w:color w:val="467886"/>
            <w:szCs w:val="20"/>
            <w:u w:val="single"/>
          </w:rPr>
          <w:t>announced</w:t>
        </w:r>
      </w:hyperlink>
      <w:r w:rsidRPr="003E3505">
        <w:rPr>
          <w:rFonts w:eastAsiaTheme="minorEastAsia" w:cs="Poppins"/>
          <w:color w:val="467886"/>
          <w:szCs w:val="20"/>
          <w:u w:val="single"/>
        </w:rPr>
        <w:t xml:space="preserve"> </w:t>
      </w:r>
      <w:r w:rsidRPr="003E3505">
        <w:rPr>
          <w:rFonts w:eastAsiaTheme="minorEastAsia" w:cs="Poppins"/>
          <w:szCs w:val="20"/>
        </w:rPr>
        <w:t>a 251-million-dollar award to 27 entities across the country for projects that develop and promote new or improved strategies for transitioning youth and adults with disabilities to competitive integrated employment (CIE). The focus areas for these projects include broadening access to advanced technology careers, innovative uses of technology, supporting justice-involved youth with disabilities, early intervention for those with acquired disabilities, and strategies for disconnected individuals with disabilities. Additionally, a sixth topic area allows for field-initiated projects that can address multiple topics. Eligible applicants include state agencies, public and private entities, nonprofit organizations, Indian Tribes, and institutions of higher education. These projects aim to improve employment outcomes for individuals with disabilities through targeted, innovative approaches.</w:t>
      </w:r>
    </w:p>
    <w:p w14:paraId="5CCAA27B" w14:textId="77777777" w:rsidR="0018604A" w:rsidRPr="0018604A" w:rsidRDefault="0018604A" w:rsidP="0018604A">
      <w:pPr>
        <w:pStyle w:val="ListParagraph"/>
        <w:spacing w:before="240" w:after="0"/>
        <w:ind w:left="360"/>
      </w:pPr>
    </w:p>
    <w:p w14:paraId="29EDCE21" w14:textId="2AE3AF09" w:rsidR="006C6B7F" w:rsidRPr="004604A7" w:rsidRDefault="450032BD" w:rsidP="003E3505">
      <w:pPr>
        <w:pStyle w:val="ListParagraph"/>
        <w:numPr>
          <w:ilvl w:val="0"/>
          <w:numId w:val="30"/>
        </w:numPr>
        <w:spacing w:after="0" w:line="278" w:lineRule="auto"/>
        <w:rPr>
          <w:rFonts w:ascii="Poppins Medium" w:hAnsi="Poppins Medium" w:cs="Poppins Medium"/>
          <w:color w:val="0F4761" w:themeColor="accent1" w:themeShade="BF"/>
          <w:sz w:val="24"/>
          <w:szCs w:val="24"/>
        </w:rPr>
      </w:pPr>
      <w:r w:rsidRPr="450032BD">
        <w:rPr>
          <w:rFonts w:ascii="Poppins Medium" w:hAnsi="Poppins Medium" w:cs="Poppins Medium"/>
          <w:color w:val="0F4761" w:themeColor="accent1" w:themeShade="BF"/>
          <w:sz w:val="24"/>
          <w:szCs w:val="24"/>
        </w:rPr>
        <w:t>KFF Releases Analysis of the Connection between SSDI, SSI, and Medicaid and Medicare Coverage Over Two Decades</w:t>
      </w:r>
    </w:p>
    <w:p w14:paraId="6B9CFC93" w14:textId="44BE11CE" w:rsidR="006C6B7F" w:rsidRPr="003E3505" w:rsidRDefault="472991B2" w:rsidP="003E3505">
      <w:pPr>
        <w:spacing w:after="0" w:line="240" w:lineRule="auto"/>
        <w:ind w:left="360"/>
        <w:rPr>
          <w:rFonts w:eastAsiaTheme="minorEastAsia" w:cs="Poppins"/>
          <w:szCs w:val="20"/>
        </w:rPr>
      </w:pPr>
      <w:r w:rsidRPr="003E3505">
        <w:rPr>
          <w:rFonts w:eastAsiaTheme="minorEastAsia" w:cs="Poppins"/>
          <w:szCs w:val="20"/>
        </w:rPr>
        <w:t>Last week, KFF</w:t>
      </w:r>
      <w:r w:rsidRPr="003E3505">
        <w:rPr>
          <w:rFonts w:eastAsiaTheme="minorEastAsia" w:cs="Poppins"/>
          <w:color w:val="467886"/>
          <w:szCs w:val="20"/>
          <w:u w:val="single"/>
        </w:rPr>
        <w:t xml:space="preserve"> </w:t>
      </w:r>
      <w:hyperlink r:id="rId10">
        <w:r w:rsidRPr="003E3505">
          <w:rPr>
            <w:rFonts w:eastAsiaTheme="minorEastAsia" w:cs="Poppins"/>
            <w:color w:val="467886"/>
            <w:szCs w:val="20"/>
            <w:u w:val="single"/>
          </w:rPr>
          <w:t>released</w:t>
        </w:r>
      </w:hyperlink>
      <w:r w:rsidRPr="003E3505">
        <w:rPr>
          <w:rFonts w:eastAsiaTheme="minorEastAsia" w:cs="Poppins"/>
          <w:color w:val="467886"/>
          <w:szCs w:val="20"/>
          <w:u w:val="single"/>
        </w:rPr>
        <w:t xml:space="preserve"> </w:t>
      </w:r>
      <w:r w:rsidRPr="003E3505">
        <w:rPr>
          <w:rFonts w:eastAsiaTheme="minorEastAsia" w:cs="Poppins"/>
          <w:szCs w:val="20"/>
        </w:rPr>
        <w:t>an analysis of enrollment in disability programs from 2002 to 2022 from Social Security Administration and Centers for Medicare and Medicaid Services data. In 2021, 12.9 million qualified for Medicare or Medicaid due to receiving disability benefits from Social Security Disability Insurance (SSDI) or Supplemental Security Income (SSI).  Of these, 4.5 million were dual-eligible, receiving both Medicare and Medicaid, while 4.8 million SSI beneficiaries had Medicaid only and 3.6 million SSDI beneficiaries had Medicare only. In 2022, 13 million people under age 65 received disability benefits from Social Security programs. Enrollment in SSDI and SSI programs has decreased since 2014, partially due to changing demographics and the impacts of the COVID-19 pandemic. Mental disorders were the most common disabling conditions among beneficiaries, with SSDI recipients mostly having musculoskeletal and mental disorders, while SSI recipients primarily have intellectual and developmental disorders. The average monthly benefit is significantly higher for SSDI beneficiaries ($1,500) compared to SSI beneficiaries ($650). The decline in SSDI enrollment has meant fewer people under age 65 qualifying for Medicare due to having a long-term disability.</w:t>
      </w:r>
    </w:p>
    <w:p w14:paraId="29E416F0" w14:textId="1621FF49" w:rsidR="006C6B7F" w:rsidRPr="004604A7" w:rsidRDefault="006C6B7F" w:rsidP="450032BD">
      <w:pPr>
        <w:spacing w:line="278" w:lineRule="auto"/>
        <w:ind w:left="360"/>
        <w:rPr>
          <w:rFonts w:ascii="Aptos" w:eastAsia="Aptos" w:hAnsi="Aptos" w:cs="Aptos"/>
          <w:sz w:val="24"/>
          <w:szCs w:val="24"/>
        </w:rPr>
      </w:pPr>
    </w:p>
    <w:p w14:paraId="7685B2FF" w14:textId="77777777" w:rsidR="003E3505" w:rsidRDefault="003E3505" w:rsidP="003E3505">
      <w:pPr>
        <w:pStyle w:val="ListParagraph"/>
        <w:numPr>
          <w:ilvl w:val="0"/>
          <w:numId w:val="30"/>
        </w:numPr>
        <w:spacing w:after="0" w:line="278" w:lineRule="auto"/>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Justice Ketanji Brown Jackson Shares her Journey with a Child with Special Needs</w:t>
      </w:r>
    </w:p>
    <w:p w14:paraId="37A64107" w14:textId="3755ED84" w:rsidR="003E3505" w:rsidRPr="003E3505" w:rsidRDefault="003E3505" w:rsidP="003E3505">
      <w:pPr>
        <w:pStyle w:val="ListParagraph"/>
        <w:spacing w:line="240" w:lineRule="auto"/>
        <w:ind w:left="360"/>
        <w:rPr>
          <w:rFonts w:ascii="Poppins Medium" w:hAnsi="Poppins Medium" w:cs="Poppins Medium"/>
          <w:color w:val="0F4761" w:themeColor="accent1" w:themeShade="BF"/>
          <w:szCs w:val="20"/>
        </w:rPr>
      </w:pPr>
      <w:r w:rsidRPr="003E3505">
        <w:rPr>
          <w:szCs w:val="20"/>
        </w:rPr>
        <w:t xml:space="preserve">In a candid interview with CNN, Justice Ketanji Brown Jackson </w:t>
      </w:r>
      <w:hyperlink r:id="rId11" w:history="1">
        <w:r w:rsidRPr="003E3505">
          <w:rPr>
            <w:rStyle w:val="Hyperlink"/>
            <w:szCs w:val="20"/>
          </w:rPr>
          <w:t>opened up</w:t>
        </w:r>
      </w:hyperlink>
      <w:r w:rsidRPr="003E3505">
        <w:rPr>
          <w:szCs w:val="20"/>
        </w:rPr>
        <w:t xml:space="preserve"> about the struggles she faced as a working mother of a child with special needs. Jackson revealed that her eldest daughter, Talia, was diagnosed with mild autism spectrum disorder at age 11, after years of the family grappling with the lack of a diagnosis and understanding of her needs. Reflecting on the period before her daughter's diagnosis, Jackson admitted she felt "inadequate" and might have left her demanding legal career had she known the full extent of Talia’s challenges earlier. Her personal story highlights the complexities many families face when navigating disabilities, particularly within the context of professional and personal pressures. Ultimately, Jackson’s experience serves as a powerful example of resilience, illustrating that it is possible to achieve success while caring for a family member with a disability, though the journey is often fraught with emotional and practical challenges.</w:t>
      </w:r>
    </w:p>
    <w:p w14:paraId="0DFC726D" w14:textId="77777777" w:rsidR="003E3505" w:rsidRDefault="003E3505" w:rsidP="003E3505">
      <w:pPr>
        <w:pStyle w:val="ListParagraph"/>
        <w:spacing w:line="278" w:lineRule="auto"/>
        <w:ind w:left="360"/>
        <w:rPr>
          <w:rFonts w:ascii="Poppins Medium" w:hAnsi="Poppins Medium" w:cs="Poppins Medium"/>
          <w:color w:val="0F4761" w:themeColor="accent1" w:themeShade="BF"/>
          <w:sz w:val="24"/>
          <w:szCs w:val="24"/>
        </w:rPr>
      </w:pPr>
    </w:p>
    <w:p w14:paraId="3985326F" w14:textId="7990D307" w:rsidR="006C6B7F" w:rsidRPr="004604A7" w:rsidRDefault="450032BD" w:rsidP="003E3505">
      <w:pPr>
        <w:pStyle w:val="ListParagraph"/>
        <w:numPr>
          <w:ilvl w:val="0"/>
          <w:numId w:val="30"/>
        </w:numPr>
        <w:spacing w:after="0" w:line="278" w:lineRule="auto"/>
        <w:rPr>
          <w:rFonts w:ascii="Poppins Medium" w:hAnsi="Poppins Medium" w:cs="Poppins Medium"/>
          <w:color w:val="0F4761" w:themeColor="accent1" w:themeShade="BF"/>
          <w:sz w:val="24"/>
          <w:szCs w:val="24"/>
        </w:rPr>
      </w:pPr>
      <w:r w:rsidRPr="450032BD">
        <w:rPr>
          <w:rFonts w:ascii="Poppins Medium" w:hAnsi="Poppins Medium" w:cs="Poppins Medium"/>
          <w:color w:val="0F4761" w:themeColor="accent1" w:themeShade="BF"/>
          <w:sz w:val="24"/>
          <w:szCs w:val="24"/>
        </w:rPr>
        <w:t>Congress Members Spearhead Effort to Restore Funding for Mental Health Awareness Training</w:t>
      </w:r>
    </w:p>
    <w:p w14:paraId="57C28D9B" w14:textId="2762DAA6" w:rsidR="00C43DBD" w:rsidRPr="003E3505" w:rsidRDefault="472991B2" w:rsidP="003E3505">
      <w:pPr>
        <w:spacing w:after="0" w:line="240" w:lineRule="auto"/>
        <w:ind w:left="360"/>
        <w:rPr>
          <w:rFonts w:cs="Poppins"/>
        </w:rPr>
      </w:pPr>
      <w:r w:rsidRPr="003E3505">
        <w:rPr>
          <w:rFonts w:eastAsiaTheme="minorEastAsia" w:cs="Poppins"/>
          <w:szCs w:val="20"/>
        </w:rPr>
        <w:t xml:space="preserve">Last week, Congress members Doris Matsui and Marcus Molinaro </w:t>
      </w:r>
      <w:hyperlink r:id="rId12">
        <w:r w:rsidRPr="003E3505">
          <w:rPr>
            <w:rFonts w:eastAsiaTheme="minorEastAsia" w:cs="Poppins"/>
            <w:color w:val="467886"/>
            <w:szCs w:val="20"/>
            <w:u w:val="single"/>
          </w:rPr>
          <w:t>sent a letter</w:t>
        </w:r>
      </w:hyperlink>
      <w:r w:rsidRPr="003E3505">
        <w:rPr>
          <w:rFonts w:eastAsiaTheme="minorEastAsia" w:cs="Poppins"/>
          <w:color w:val="467886"/>
          <w:szCs w:val="20"/>
          <w:u w:val="single"/>
        </w:rPr>
        <w:t xml:space="preserve"> t</w:t>
      </w:r>
      <w:r w:rsidRPr="003E3505">
        <w:rPr>
          <w:rFonts w:eastAsiaTheme="minorEastAsia" w:cs="Poppins"/>
          <w:szCs w:val="20"/>
        </w:rPr>
        <w:t xml:space="preserve">o Chairman Cole and Ranking Member DeLauro to urge a restoration of funding for the Mental Health Awareness and Training program in the Fiscal Year (FY) 2025 Labor, Health </w:t>
      </w:r>
      <w:r w:rsidRPr="003E3505">
        <w:rPr>
          <w:rFonts w:eastAsiaTheme="minorEastAsia" w:cs="Poppins"/>
          <w:szCs w:val="20"/>
        </w:rPr>
        <w:lastRenderedPageBreak/>
        <w:t>and Human Services, Education and Related Agencies Appropriations Bill, as proposed by the Senate. The Congress members asked for an agreement to fund the program at least 27 million dollars, representing the flat funding from FY 2024. Mental Health Awareness Training (MHAT) is a program that provides training for individuals responding to mental health crises. The program plays a critical role in supporting individuals with severe mental illness by training responders to be better prepared to interact with and respond to such individuals. The Congress members noted the importance of continued funding of projects that address mental health and substance use challenges.</w:t>
      </w:r>
    </w:p>
    <w:p w14:paraId="7139342C" w14:textId="0A3FDC2E" w:rsidR="006C6B7F" w:rsidRPr="006C6B7F" w:rsidRDefault="450032BD" w:rsidP="450032BD">
      <w:pPr>
        <w:pStyle w:val="ListParagraph"/>
        <w:numPr>
          <w:ilvl w:val="0"/>
          <w:numId w:val="30"/>
        </w:numPr>
        <w:spacing w:before="240" w:after="0"/>
        <w:rPr>
          <w:rFonts w:asciiTheme="minorHAnsi" w:eastAsiaTheme="minorEastAsia" w:hAnsiTheme="minorHAnsi"/>
          <w:color w:val="0F4761" w:themeColor="accent1" w:themeShade="BF"/>
          <w:sz w:val="24"/>
          <w:szCs w:val="24"/>
        </w:rPr>
      </w:pPr>
      <w:r w:rsidRPr="450032BD">
        <w:rPr>
          <w:rFonts w:ascii="Poppins Medium" w:hAnsi="Poppins Medium" w:cs="Poppins Medium"/>
          <w:color w:val="0F4761" w:themeColor="accent1" w:themeShade="BF"/>
          <w:sz w:val="24"/>
          <w:szCs w:val="24"/>
        </w:rPr>
        <w:t>Essentia Health, Among Other Health Systems, Announces Departure from MA Contracts in Coming Year</w:t>
      </w:r>
    </w:p>
    <w:p w14:paraId="18E2D252" w14:textId="7FC0CFCF" w:rsidR="007475C0" w:rsidRPr="003E3505" w:rsidRDefault="472991B2" w:rsidP="472991B2">
      <w:pPr>
        <w:spacing w:after="0" w:line="240" w:lineRule="auto"/>
        <w:ind w:left="360"/>
        <w:rPr>
          <w:rFonts w:eastAsiaTheme="minorEastAsia" w:cs="Poppins"/>
          <w:szCs w:val="20"/>
        </w:rPr>
      </w:pPr>
      <w:r w:rsidRPr="003E3505">
        <w:rPr>
          <w:rFonts w:eastAsiaTheme="minorEastAsia" w:cs="Poppins"/>
          <w:szCs w:val="20"/>
        </w:rPr>
        <w:t xml:space="preserve">Essentia Health announced it will </w:t>
      </w:r>
      <w:hyperlink r:id="rId13">
        <w:r w:rsidRPr="003E3505">
          <w:rPr>
            <w:rFonts w:eastAsiaTheme="minorEastAsia" w:cs="Poppins"/>
            <w:szCs w:val="20"/>
          </w:rPr>
          <w:t xml:space="preserve">end </w:t>
        </w:r>
        <w:r w:rsidRPr="003E3505">
          <w:rPr>
            <w:rFonts w:eastAsiaTheme="minorEastAsia" w:cs="Poppins"/>
            <w:color w:val="467886"/>
            <w:szCs w:val="20"/>
            <w:u w:val="single"/>
          </w:rPr>
          <w:t>its in-network relationship</w:t>
        </w:r>
      </w:hyperlink>
      <w:r w:rsidRPr="003E3505">
        <w:rPr>
          <w:rFonts w:eastAsiaTheme="minorEastAsia" w:cs="Poppins"/>
          <w:color w:val="467886"/>
          <w:szCs w:val="20"/>
          <w:u w:val="single"/>
        </w:rPr>
        <w:t xml:space="preserve"> </w:t>
      </w:r>
      <w:r w:rsidRPr="003E3505">
        <w:rPr>
          <w:rFonts w:eastAsiaTheme="minorEastAsia" w:cs="Poppins"/>
          <w:szCs w:val="20"/>
        </w:rPr>
        <w:t>with Medicare Advantage plans administered by UnitedHealthcare (UHC) and Humana effective January 1, 2025, due to high rates of prior authorization denials and delays. Essentia Health, serving patients in Minnesota, North Dakota, and Wisconsin, cited that these issues have significantly impacted patient care. Other health systems, including Sanford Health and HealthPartners, are making similar moves due to ongoing coverage denials and delays from Medicare Advantage plans. Mercy Health is also ending its contracts with Anthem Blue Cross Blue Shield in Missouri, affecting multiple insurance plans, and is seeking to minimize patient disruption. These actions reflect a broader trend among health systems reevaluating their participation in Medicare Advantage networks due to operational challenges.</w:t>
      </w:r>
    </w:p>
    <w:p w14:paraId="1A6DA170" w14:textId="466371B1" w:rsidR="472991B2" w:rsidRDefault="472991B2" w:rsidP="472991B2">
      <w:pPr>
        <w:spacing w:after="0" w:line="240" w:lineRule="auto"/>
        <w:ind w:left="360"/>
        <w:rPr>
          <w:rFonts w:asciiTheme="minorHAnsi" w:eastAsiaTheme="minorEastAsia" w:hAnsiTheme="minorHAnsi"/>
          <w:szCs w:val="20"/>
        </w:rPr>
      </w:pPr>
    </w:p>
    <w:p w14:paraId="0D5AC9FD" w14:textId="35765840" w:rsidR="472991B2" w:rsidRPr="003E3505" w:rsidRDefault="472991B2" w:rsidP="003E3505">
      <w:pPr>
        <w:pStyle w:val="ListParagraph"/>
        <w:numPr>
          <w:ilvl w:val="0"/>
          <w:numId w:val="30"/>
        </w:numPr>
        <w:spacing w:after="0"/>
        <w:rPr>
          <w:rFonts w:ascii="Poppins Medium" w:hAnsi="Poppins Medium" w:cs="Poppins Medium"/>
          <w:color w:val="0F4761" w:themeColor="accent1" w:themeShade="BF"/>
          <w:sz w:val="24"/>
          <w:szCs w:val="24"/>
        </w:rPr>
      </w:pPr>
      <w:r w:rsidRPr="003E3505">
        <w:rPr>
          <w:rFonts w:ascii="Poppins Medium" w:eastAsiaTheme="minorEastAsia" w:hAnsi="Poppins Medium" w:cs="Poppins Medium"/>
          <w:color w:val="0F4761" w:themeColor="accent1" w:themeShade="BF"/>
          <w:sz w:val="24"/>
          <w:szCs w:val="24"/>
        </w:rPr>
        <w:t xml:space="preserve">U.S. Department of the Treasury Releases New Data Showing Nealy 50 </w:t>
      </w:r>
      <w:proofErr w:type="gramStart"/>
      <w:r w:rsidRPr="003E3505">
        <w:rPr>
          <w:rFonts w:ascii="Poppins Medium" w:eastAsiaTheme="minorEastAsia" w:hAnsi="Poppins Medium" w:cs="Poppins Medium"/>
          <w:color w:val="0F4761" w:themeColor="accent1" w:themeShade="BF"/>
          <w:sz w:val="24"/>
          <w:szCs w:val="24"/>
        </w:rPr>
        <w:t>Million</w:t>
      </w:r>
      <w:proofErr w:type="gramEnd"/>
      <w:r w:rsidRPr="003E3505">
        <w:rPr>
          <w:rFonts w:ascii="Poppins Medium" w:eastAsiaTheme="minorEastAsia" w:hAnsi="Poppins Medium" w:cs="Poppins Medium"/>
          <w:color w:val="0F4761" w:themeColor="accent1" w:themeShade="BF"/>
          <w:sz w:val="24"/>
          <w:szCs w:val="24"/>
        </w:rPr>
        <w:t xml:space="preserve"> Americans Have Been Covered Through ACA Since 2014</w:t>
      </w:r>
    </w:p>
    <w:p w14:paraId="75F5FCC6" w14:textId="5AE1CAAD" w:rsidR="472991B2" w:rsidRDefault="472991B2" w:rsidP="472991B2">
      <w:pPr>
        <w:spacing w:after="0" w:line="240" w:lineRule="auto"/>
        <w:rPr>
          <w:rFonts w:asciiTheme="minorHAnsi" w:eastAsiaTheme="minorEastAsia" w:hAnsiTheme="minorHAnsi"/>
          <w:szCs w:val="20"/>
        </w:rPr>
      </w:pPr>
    </w:p>
    <w:p w14:paraId="6ED7AFD8" w14:textId="0FF8521F" w:rsidR="472991B2" w:rsidRPr="003E3505" w:rsidRDefault="003E3505" w:rsidP="003E3505">
      <w:pPr>
        <w:spacing w:after="0" w:line="240" w:lineRule="auto"/>
        <w:ind w:left="360"/>
        <w:rPr>
          <w:rFonts w:eastAsiaTheme="minorEastAsia" w:cs="Poppins"/>
          <w:szCs w:val="20"/>
        </w:rPr>
      </w:pPr>
      <w:r>
        <w:rPr>
          <w:rFonts w:eastAsiaTheme="minorEastAsia" w:cs="Poppins"/>
          <w:szCs w:val="20"/>
        </w:rPr>
        <w:t>Last week</w:t>
      </w:r>
      <w:r w:rsidR="472991B2" w:rsidRPr="003E3505">
        <w:rPr>
          <w:rFonts w:eastAsiaTheme="minorEastAsia" w:cs="Poppins"/>
          <w:szCs w:val="20"/>
        </w:rPr>
        <w:t xml:space="preserve">, the U.S. Department of the Treasury </w:t>
      </w:r>
      <w:hyperlink r:id="rId14">
        <w:r w:rsidR="472991B2" w:rsidRPr="003E3505">
          <w:rPr>
            <w:rFonts w:eastAsiaTheme="minorEastAsia" w:cs="Poppins"/>
            <w:color w:val="467886"/>
            <w:szCs w:val="20"/>
            <w:u w:val="single"/>
          </w:rPr>
          <w:t>released</w:t>
        </w:r>
      </w:hyperlink>
      <w:r w:rsidR="472991B2" w:rsidRPr="003E3505">
        <w:rPr>
          <w:rFonts w:eastAsiaTheme="minorEastAsia" w:cs="Poppins"/>
          <w:color w:val="467886"/>
          <w:szCs w:val="20"/>
          <w:u w:val="single"/>
        </w:rPr>
        <w:t xml:space="preserve"> </w:t>
      </w:r>
      <w:r w:rsidR="472991B2" w:rsidRPr="003E3505">
        <w:rPr>
          <w:rFonts w:eastAsiaTheme="minorEastAsia" w:cs="Poppins"/>
          <w:szCs w:val="20"/>
        </w:rPr>
        <w:t xml:space="preserve">data showing that over the past decade, nearly 50 million Americans have been covered through the Affordable Care Act (ACA) marketplaces, with enrollment reaching a record high of 20.8 million under the Biden-Harris Administration. This increase was largely due to expanded premium tax credits, which have made marketplace coverage more affordable, reducing premiums to $10 or less per month for many. The Administration has also extended access to the ACA premium tax credit to families with incomes over 400% of the federal poverty level. The ACA marketplaces have been particularly important for people living in states that either haven’t expanded Medicaid or only recently did so. In non-expansion states, about 20% of the population has enrolled in a marketplace plan at some point, compared to 12% in states that have expanded Medicaid.  </w:t>
      </w:r>
    </w:p>
    <w:p w14:paraId="32997099" w14:textId="01417431" w:rsidR="007475C0" w:rsidRPr="00500ECF" w:rsidRDefault="007475C0" w:rsidP="450032BD">
      <w:pPr>
        <w:spacing w:after="0" w:line="240" w:lineRule="auto"/>
        <w:ind w:left="360"/>
      </w:pPr>
    </w:p>
    <w:p w14:paraId="369D121B" w14:textId="5AAA858D" w:rsidR="003E3441" w:rsidRDefault="17691895" w:rsidP="003E3505">
      <w:pPr>
        <w:pStyle w:val="Heading1"/>
        <w:spacing w:before="0" w:after="0"/>
        <w:rPr>
          <w:rFonts w:ascii="Poppins SemiBold" w:hAnsi="Poppins SemiBold" w:cs="Poppins SemiBold"/>
          <w:sz w:val="32"/>
          <w:szCs w:val="32"/>
        </w:rPr>
      </w:pPr>
      <w:r w:rsidRPr="17691895">
        <w:rPr>
          <w:rFonts w:ascii="Poppins SemiBold" w:hAnsi="Poppins SemiBold" w:cs="Poppins SemiBold"/>
          <w:sz w:val="32"/>
          <w:szCs w:val="32"/>
        </w:rPr>
        <w:t>What’s on Tap</w:t>
      </w:r>
    </w:p>
    <w:p w14:paraId="20702810" w14:textId="77777777" w:rsidR="003E3505" w:rsidRPr="003E3505" w:rsidRDefault="003E3505" w:rsidP="003E3505">
      <w:pPr>
        <w:pStyle w:val="ListParagraph"/>
        <w:numPr>
          <w:ilvl w:val="0"/>
          <w:numId w:val="30"/>
        </w:numPr>
        <w:spacing w:after="0" w:line="240" w:lineRule="auto"/>
        <w:rPr>
          <w:rFonts w:cs="Poppins"/>
          <w:szCs w:val="20"/>
        </w:rPr>
      </w:pPr>
      <w:r w:rsidRPr="003E3505">
        <w:rPr>
          <w:rFonts w:cs="Poppins"/>
          <w:szCs w:val="20"/>
        </w:rPr>
        <w:t xml:space="preserve">Both the Senate and House have returned from summer recess to a fast-approaching deadline at the end of this month to agree on spending proposals and avoid a </w:t>
      </w:r>
      <w:r w:rsidRPr="003E3505">
        <w:rPr>
          <w:rFonts w:cs="Poppins"/>
          <w:szCs w:val="20"/>
        </w:rPr>
        <w:lastRenderedPageBreak/>
        <w:t xml:space="preserve">government shutdown. Internal conflicts within the House Republicans characterized the stopgap funding efforts last week, causing Speaker Mike Johnson (R-LA) to abandon plans to vote on the </w:t>
      </w:r>
      <w:hyperlink r:id="rId15">
        <w:r w:rsidRPr="003E3505">
          <w:rPr>
            <w:rStyle w:val="Hyperlink"/>
            <w:rFonts w:cs="Poppins"/>
            <w:szCs w:val="20"/>
          </w:rPr>
          <w:t>CR-plus-SAVE Act</w:t>
        </w:r>
      </w:hyperlink>
      <w:r w:rsidRPr="003E3505">
        <w:rPr>
          <w:rFonts w:cs="Poppins"/>
          <w:szCs w:val="20"/>
        </w:rPr>
        <w:t xml:space="preserve">, which would have combined a six-month continuing resolution with a bill requiring proof of citizenship to vote.  This week, lawmakers await Speaker Johnson’s next move in relation to spending proposals. </w:t>
      </w:r>
      <w:r w:rsidRPr="003E3505">
        <w:rPr>
          <w:rFonts w:cs="Poppins"/>
          <w:szCs w:val="20"/>
        </w:rPr>
        <w:br/>
      </w:r>
    </w:p>
    <w:p w14:paraId="09BDB30D" w14:textId="77777777" w:rsidR="003E3505" w:rsidRPr="003E3505" w:rsidRDefault="003E3505" w:rsidP="003E3505">
      <w:pPr>
        <w:pStyle w:val="ListParagraph"/>
        <w:numPr>
          <w:ilvl w:val="0"/>
          <w:numId w:val="30"/>
        </w:numPr>
        <w:spacing w:after="0" w:line="240" w:lineRule="auto"/>
        <w:rPr>
          <w:rFonts w:cs="Poppins"/>
          <w:szCs w:val="20"/>
        </w:rPr>
      </w:pPr>
      <w:r w:rsidRPr="003E3505">
        <w:rPr>
          <w:rFonts w:cs="Poppins"/>
          <w:szCs w:val="20"/>
        </w:rPr>
        <w:t xml:space="preserve">On Sunday, former President Trump experienced a second assassination attempt within the past three months. Federal authorities are now investigating the incident after the Secret Service opened fire at a spotted gun at the Trump International Golf Club in West Palm Beach. President Biden </w:t>
      </w:r>
      <w:hyperlink r:id="rId16">
        <w:r w:rsidRPr="003E3505">
          <w:rPr>
            <w:rStyle w:val="Hyperlink"/>
            <w:rFonts w:cs="Poppins"/>
            <w:szCs w:val="20"/>
          </w:rPr>
          <w:t>called</w:t>
        </w:r>
      </w:hyperlink>
      <w:r w:rsidRPr="003E3505">
        <w:rPr>
          <w:rFonts w:cs="Poppins"/>
          <w:szCs w:val="20"/>
        </w:rPr>
        <w:t xml:space="preserve"> on Congress to increase Secret Service support after the incident, while Speaker Mike Johnson </w:t>
      </w:r>
      <w:hyperlink r:id="rId17">
        <w:r w:rsidRPr="003E3505">
          <w:rPr>
            <w:rStyle w:val="Hyperlink"/>
            <w:rFonts w:cs="Poppins"/>
            <w:szCs w:val="20"/>
          </w:rPr>
          <w:t>demanded</w:t>
        </w:r>
      </w:hyperlink>
      <w:r w:rsidRPr="003E3505">
        <w:rPr>
          <w:rFonts w:cs="Poppins"/>
          <w:szCs w:val="20"/>
        </w:rPr>
        <w:t xml:space="preserve"> that Trump have “every asset available.” The Task Force on the Attempted Assassination of Donald J. Trump released a statement that they are monitoring the situation and </w:t>
      </w:r>
      <w:hyperlink r:id="rId18">
        <w:r w:rsidRPr="003E3505">
          <w:rPr>
            <w:rStyle w:val="Hyperlink"/>
            <w:rFonts w:cs="Poppins"/>
            <w:szCs w:val="20"/>
          </w:rPr>
          <w:t>have requested a briefing</w:t>
        </w:r>
      </w:hyperlink>
      <w:r w:rsidRPr="003E3505">
        <w:rPr>
          <w:rFonts w:cs="Poppins"/>
          <w:szCs w:val="20"/>
        </w:rPr>
        <w:t xml:space="preserve"> with the U.S. Secret Service. </w:t>
      </w:r>
    </w:p>
    <w:p w14:paraId="4D8AA6E7" w14:textId="77777777" w:rsidR="003E3505" w:rsidRPr="003E3505" w:rsidRDefault="003E3505" w:rsidP="003E3505">
      <w:pPr>
        <w:spacing w:after="0" w:line="240" w:lineRule="auto"/>
        <w:rPr>
          <w:rFonts w:cs="Poppins"/>
          <w:szCs w:val="20"/>
        </w:rPr>
      </w:pPr>
    </w:p>
    <w:p w14:paraId="5B31DA10" w14:textId="77777777" w:rsidR="003E3505" w:rsidRPr="003E3505" w:rsidRDefault="003E3505" w:rsidP="003E3505">
      <w:pPr>
        <w:pStyle w:val="ListParagraph"/>
        <w:numPr>
          <w:ilvl w:val="0"/>
          <w:numId w:val="30"/>
        </w:numPr>
        <w:spacing w:after="0" w:line="240" w:lineRule="auto"/>
        <w:rPr>
          <w:rFonts w:cs="Poppins"/>
          <w:szCs w:val="20"/>
        </w:rPr>
      </w:pPr>
      <w:r w:rsidRPr="003E3505">
        <w:rPr>
          <w:rFonts w:cs="Poppins"/>
          <w:szCs w:val="20"/>
        </w:rPr>
        <w:t xml:space="preserve">The Senate will vote on legislation this Tuesday on whether access to vitro fertilization will be protected for Americans, which is a contentious issue in the upcoming election. The legislation received 48 votes when it came to the floor in June, but Majority Leader Chuck Schumer (D-NY) </w:t>
      </w:r>
      <w:hyperlink r:id="rId19" w:history="1">
        <w:r w:rsidRPr="003E3505">
          <w:rPr>
            <w:rStyle w:val="Hyperlink"/>
            <w:rFonts w:cs="Poppins"/>
            <w:szCs w:val="20"/>
          </w:rPr>
          <w:t>stated his reasoning</w:t>
        </w:r>
      </w:hyperlink>
      <w:r w:rsidRPr="003E3505">
        <w:rPr>
          <w:rFonts w:cs="Poppins"/>
          <w:szCs w:val="20"/>
        </w:rPr>
        <w:t xml:space="preserve"> for bring the legislation back, saying that that “Republicans can’t claim to be profamily on one hand, only to block profamily policies like federal protections for IVF.”</w:t>
      </w:r>
    </w:p>
    <w:p w14:paraId="2287721A" w14:textId="77777777" w:rsidR="003E3505" w:rsidRPr="003E3505" w:rsidRDefault="003E3505" w:rsidP="003E3505">
      <w:pPr>
        <w:spacing w:after="0" w:line="240" w:lineRule="auto"/>
        <w:rPr>
          <w:rFonts w:cs="Poppins"/>
          <w:szCs w:val="20"/>
        </w:rPr>
      </w:pPr>
    </w:p>
    <w:p w14:paraId="41312490" w14:textId="77777777" w:rsidR="003E3505" w:rsidRPr="003E3505" w:rsidRDefault="003E3505" w:rsidP="003E3505">
      <w:pPr>
        <w:pStyle w:val="ListParagraph"/>
        <w:numPr>
          <w:ilvl w:val="0"/>
          <w:numId w:val="30"/>
        </w:numPr>
        <w:spacing w:after="0" w:line="240" w:lineRule="auto"/>
        <w:rPr>
          <w:rFonts w:cs="Poppins"/>
          <w:szCs w:val="20"/>
        </w:rPr>
      </w:pPr>
      <w:r w:rsidRPr="003E3505">
        <w:rPr>
          <w:rFonts w:cs="Poppins"/>
          <w:szCs w:val="20"/>
        </w:rPr>
        <w:t xml:space="preserve">On September 9th, 2024, the U.S. Departments of Health and Human Services, Labor, and the Treasury released final rules on the Mental Health Parity and Addiction Equity Act (MHPAEA), </w:t>
      </w:r>
      <w:hyperlink r:id="rId20">
        <w:r w:rsidRPr="003E3505">
          <w:rPr>
            <w:rStyle w:val="Hyperlink"/>
            <w:rFonts w:cs="Poppins"/>
            <w:szCs w:val="20"/>
          </w:rPr>
          <w:t>updating regulations</w:t>
        </w:r>
      </w:hyperlink>
      <w:r w:rsidRPr="003E3505">
        <w:rPr>
          <w:rFonts w:cs="Poppins"/>
          <w:szCs w:val="20"/>
        </w:rPr>
        <w:t xml:space="preserve"> the requirements for comparative analyses and key definitions and clarifications for nonquantitative treatment limitations</w:t>
      </w:r>
      <w:r w:rsidRPr="003E3505">
        <w:rPr>
          <w:rFonts w:eastAsiaTheme="majorEastAsia" w:cs="Poppins"/>
          <w:szCs w:val="20"/>
        </w:rPr>
        <w:t xml:space="preserve">, as amended by the Consolidated Appropriations Act, 2021 (CAA, 2021). The final rules </w:t>
      </w:r>
      <w:proofErr w:type="gramStart"/>
      <w:r w:rsidRPr="003E3505">
        <w:rPr>
          <w:rFonts w:eastAsiaTheme="majorEastAsia" w:cs="Poppins"/>
          <w:szCs w:val="20"/>
        </w:rPr>
        <w:t>reflect</w:t>
      </w:r>
      <w:proofErr w:type="gramEnd"/>
      <w:r w:rsidRPr="003E3505">
        <w:rPr>
          <w:rFonts w:eastAsiaTheme="majorEastAsia" w:cs="Poppins"/>
          <w:szCs w:val="20"/>
        </w:rPr>
        <w:t xml:space="preserve"> and address comments received during the public comment period for the proposed rules that were published on August 3rd, 2023.  </w:t>
      </w:r>
    </w:p>
    <w:p w14:paraId="5077D696" w14:textId="77777777" w:rsidR="003E3505" w:rsidRPr="003E3505" w:rsidRDefault="003E3505" w:rsidP="003E3505">
      <w:pPr>
        <w:spacing w:after="0" w:line="240" w:lineRule="auto"/>
        <w:rPr>
          <w:rFonts w:cs="Poppins"/>
          <w:szCs w:val="20"/>
        </w:rPr>
      </w:pPr>
    </w:p>
    <w:p w14:paraId="4B3674AF" w14:textId="538C3125" w:rsidR="450032BD" w:rsidRPr="003E3505" w:rsidRDefault="450032BD" w:rsidP="003E3505">
      <w:pPr>
        <w:pStyle w:val="Heading1"/>
        <w:spacing w:before="0" w:after="0"/>
        <w:rPr>
          <w:rFonts w:ascii="Poppins SemiBold" w:hAnsi="Poppins SemiBold" w:cs="Poppins SemiBold"/>
          <w:sz w:val="8"/>
          <w:szCs w:val="8"/>
        </w:rPr>
      </w:pPr>
      <w:r w:rsidRPr="450032BD">
        <w:rPr>
          <w:rFonts w:ascii="Poppins SemiBold" w:hAnsi="Poppins SemiBold" w:cs="Poppins SemiBold"/>
          <w:sz w:val="32"/>
          <w:szCs w:val="32"/>
        </w:rPr>
        <w:t xml:space="preserve">Upcoming Events </w:t>
      </w:r>
    </w:p>
    <w:tbl>
      <w:tblPr>
        <w:tblW w:w="5000" w:type="pct"/>
        <w:tblCellMar>
          <w:left w:w="0" w:type="dxa"/>
          <w:right w:w="0" w:type="dxa"/>
        </w:tblCellMar>
        <w:tblLook w:val="04A0" w:firstRow="1" w:lastRow="0" w:firstColumn="1" w:lastColumn="0" w:noHBand="0" w:noVBand="1"/>
      </w:tblPr>
      <w:tblGrid>
        <w:gridCol w:w="9360"/>
      </w:tblGrid>
      <w:tr w:rsidR="003E3505" w:rsidRPr="003E3505" w14:paraId="6C88AE89" w14:textId="77777777" w:rsidTr="003E3505">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3E3505" w:rsidRPr="003E3505" w14:paraId="5363244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3E3505" w:rsidRPr="003E3505" w14:paraId="25F0773E" w14:textId="77777777">
                    <w:tc>
                      <w:tcPr>
                        <w:tcW w:w="0" w:type="auto"/>
                        <w:tcMar>
                          <w:top w:w="0" w:type="dxa"/>
                          <w:left w:w="270" w:type="dxa"/>
                          <w:bottom w:w="135" w:type="dxa"/>
                          <w:right w:w="270" w:type="dxa"/>
                        </w:tcMar>
                        <w:hideMark/>
                      </w:tcPr>
                      <w:p w14:paraId="30492083" w14:textId="77777777" w:rsidR="003E3505" w:rsidRPr="003E3505" w:rsidRDefault="003E3505" w:rsidP="003E3505">
                        <w:pPr>
                          <w:rPr>
                            <w:rFonts w:eastAsia="Poppins" w:cs="Poppins"/>
                            <w:szCs w:val="20"/>
                          </w:rPr>
                        </w:pPr>
                        <w:r w:rsidRPr="003E3505">
                          <w:rPr>
                            <w:rFonts w:eastAsia="Poppins" w:cs="Poppins"/>
                            <w:b/>
                            <w:bCs/>
                            <w:szCs w:val="20"/>
                          </w:rPr>
                          <w:t>Tuesday </w:t>
                        </w:r>
                      </w:p>
                      <w:p w14:paraId="00711AFC" w14:textId="77777777" w:rsidR="003E3505" w:rsidRPr="003E3505" w:rsidRDefault="003E3505" w:rsidP="003E3505">
                        <w:pPr>
                          <w:numPr>
                            <w:ilvl w:val="0"/>
                            <w:numId w:val="32"/>
                          </w:numPr>
                          <w:rPr>
                            <w:rFonts w:eastAsia="Poppins" w:cs="Poppins"/>
                            <w:szCs w:val="20"/>
                          </w:rPr>
                        </w:pPr>
                        <w:r w:rsidRPr="003E3505">
                          <w:rPr>
                            <w:rFonts w:eastAsia="Poppins" w:cs="Poppins"/>
                            <w:szCs w:val="20"/>
                          </w:rPr>
                          <w:t>The Senate Committee on Finance </w:t>
                        </w:r>
                        <w:hyperlink r:id="rId21" w:tgtFrame="_blank" w:history="1">
                          <w:r w:rsidRPr="003E3505">
                            <w:rPr>
                              <w:rStyle w:val="Hyperlink"/>
                              <w:rFonts w:eastAsia="Poppins" w:cs="Poppins"/>
                              <w:szCs w:val="20"/>
                            </w:rPr>
                            <w:t>will host</w:t>
                          </w:r>
                        </w:hyperlink>
                        <w:r w:rsidRPr="003E3505">
                          <w:rPr>
                            <w:rFonts w:eastAsia="Poppins" w:cs="Poppins"/>
                            <w:szCs w:val="20"/>
                          </w:rPr>
                          <w:t> a hearing: "Lower Health Care Costs for Americans: Understanding the Benefits of the Inflation Reduction Act" from 10am-1pm. </w:t>
                        </w:r>
                      </w:p>
                      <w:p w14:paraId="0E24DD69" w14:textId="77777777" w:rsidR="003E3505" w:rsidRPr="003E3505" w:rsidRDefault="003E3505" w:rsidP="003E3505">
                        <w:pPr>
                          <w:rPr>
                            <w:rFonts w:eastAsia="Poppins" w:cs="Poppins"/>
                            <w:szCs w:val="20"/>
                          </w:rPr>
                        </w:pPr>
                        <w:r w:rsidRPr="003E3505">
                          <w:rPr>
                            <w:rFonts w:eastAsia="Poppins" w:cs="Poppins"/>
                            <w:b/>
                            <w:bCs/>
                            <w:szCs w:val="20"/>
                          </w:rPr>
                          <w:t>Wednesday </w:t>
                        </w:r>
                        <w:r w:rsidRPr="003E3505">
                          <w:rPr>
                            <w:rFonts w:eastAsia="Poppins" w:cs="Poppins"/>
                            <w:szCs w:val="20"/>
                          </w:rPr>
                          <w:t xml:space="preserve"> </w:t>
                        </w:r>
                      </w:p>
                      <w:p w14:paraId="374ED0E6" w14:textId="77777777" w:rsidR="003E3505" w:rsidRPr="003E3505" w:rsidRDefault="003E3505" w:rsidP="003E3505">
                        <w:pPr>
                          <w:numPr>
                            <w:ilvl w:val="0"/>
                            <w:numId w:val="33"/>
                          </w:numPr>
                          <w:rPr>
                            <w:rFonts w:eastAsia="Poppins" w:cs="Poppins"/>
                            <w:szCs w:val="20"/>
                          </w:rPr>
                        </w:pPr>
                        <w:r w:rsidRPr="003E3505">
                          <w:rPr>
                            <w:rFonts w:eastAsia="Poppins" w:cs="Poppins"/>
                            <w:szCs w:val="20"/>
                          </w:rPr>
                          <w:lastRenderedPageBreak/>
                          <w:t xml:space="preserve">The House Subcommittee on Disability Assistance and Memorial Affairs will </w:t>
                        </w:r>
                        <w:hyperlink r:id="rId22" w:tgtFrame="_blank" w:history="1">
                          <w:r w:rsidRPr="003E3505">
                            <w:rPr>
                              <w:rStyle w:val="Hyperlink"/>
                              <w:rFonts w:eastAsia="Poppins" w:cs="Poppins"/>
                              <w:szCs w:val="20"/>
                            </w:rPr>
                            <w:t>host</w:t>
                          </w:r>
                        </w:hyperlink>
                        <w:r w:rsidRPr="003E3505">
                          <w:rPr>
                            <w:rFonts w:eastAsia="Poppins" w:cs="Poppins"/>
                            <w:szCs w:val="20"/>
                          </w:rPr>
                          <w:t xml:space="preserve"> a hearing: "Examining VA’s Challenges with Ensuring Quality Contracted Disability Compensation Examinations" from 10:15am-12:15 pm.</w:t>
                        </w:r>
                      </w:p>
                      <w:p w14:paraId="65B0DF08" w14:textId="77777777" w:rsidR="003E3505" w:rsidRPr="003E3505" w:rsidRDefault="003E3505" w:rsidP="003E3505">
                        <w:pPr>
                          <w:numPr>
                            <w:ilvl w:val="0"/>
                            <w:numId w:val="33"/>
                          </w:numPr>
                          <w:rPr>
                            <w:rFonts w:eastAsia="Poppins" w:cs="Poppins"/>
                            <w:szCs w:val="20"/>
                          </w:rPr>
                        </w:pPr>
                        <w:r w:rsidRPr="003E3505">
                          <w:rPr>
                            <w:rFonts w:eastAsia="Poppins" w:cs="Poppins"/>
                            <w:szCs w:val="20"/>
                          </w:rPr>
                          <w:t xml:space="preserve">The House Ways and Means Subcommittee on Health will </w:t>
                        </w:r>
                        <w:hyperlink r:id="rId23" w:tgtFrame="_blank" w:history="1">
                          <w:r w:rsidRPr="003E3505">
                            <w:rPr>
                              <w:rStyle w:val="Hyperlink"/>
                              <w:rFonts w:eastAsia="Poppins" w:cs="Poppins"/>
                              <w:szCs w:val="20"/>
                            </w:rPr>
                            <w:t>host</w:t>
                          </w:r>
                        </w:hyperlink>
                        <w:r w:rsidRPr="003E3505">
                          <w:rPr>
                            <w:rFonts w:eastAsia="Poppins" w:cs="Poppins"/>
                            <w:szCs w:val="20"/>
                          </w:rPr>
                          <w:t xml:space="preserve"> a hearing: "Investing in a Healthier America: Chronic Disease Prevention and Treatment" from 2pm-4pm. </w:t>
                        </w:r>
                      </w:p>
                      <w:p w14:paraId="4D692566" w14:textId="77777777" w:rsidR="003E3505" w:rsidRPr="003E3505" w:rsidRDefault="003E3505" w:rsidP="003E3505">
                        <w:pPr>
                          <w:rPr>
                            <w:rFonts w:eastAsia="Poppins" w:cs="Poppins"/>
                            <w:szCs w:val="20"/>
                          </w:rPr>
                        </w:pPr>
                        <w:r w:rsidRPr="003E3505">
                          <w:rPr>
                            <w:rFonts w:eastAsia="Poppins" w:cs="Poppins"/>
                            <w:b/>
                            <w:bCs/>
                            <w:szCs w:val="20"/>
                          </w:rPr>
                          <w:t>Thursday</w:t>
                        </w:r>
                        <w:r w:rsidRPr="003E3505">
                          <w:rPr>
                            <w:rFonts w:eastAsia="Poppins" w:cs="Poppins"/>
                            <w:szCs w:val="20"/>
                          </w:rPr>
                          <w:t xml:space="preserve">  </w:t>
                        </w:r>
                      </w:p>
                      <w:p w14:paraId="55CC9EAF" w14:textId="77777777" w:rsidR="003E3505" w:rsidRPr="003E3505" w:rsidRDefault="003E3505" w:rsidP="003E3505">
                        <w:pPr>
                          <w:numPr>
                            <w:ilvl w:val="0"/>
                            <w:numId w:val="34"/>
                          </w:numPr>
                          <w:rPr>
                            <w:rFonts w:eastAsia="Poppins" w:cs="Poppins"/>
                            <w:szCs w:val="20"/>
                          </w:rPr>
                        </w:pPr>
                        <w:r w:rsidRPr="003E3505">
                          <w:rPr>
                            <w:rFonts w:eastAsia="Poppins" w:cs="Poppins"/>
                            <w:szCs w:val="20"/>
                          </w:rPr>
                          <w:t xml:space="preserve">The Senate Committee on Aging will </w:t>
                        </w:r>
                        <w:hyperlink r:id="rId24" w:tgtFrame="_blank" w:history="1">
                          <w:r w:rsidRPr="003E3505">
                            <w:rPr>
                              <w:rStyle w:val="Hyperlink"/>
                              <w:rFonts w:eastAsia="Poppins" w:cs="Poppins"/>
                              <w:szCs w:val="20"/>
                            </w:rPr>
                            <w:t>host</w:t>
                          </w:r>
                        </w:hyperlink>
                        <w:r w:rsidRPr="003E3505">
                          <w:rPr>
                            <w:rFonts w:eastAsia="Poppins" w:cs="Poppins"/>
                            <w:szCs w:val="20"/>
                          </w:rPr>
                          <w:t xml:space="preserve"> a hearing: "Fighting Fraud: How Scammers are Stealing from Older Adults" from 10am-12pm. </w:t>
                        </w:r>
                      </w:p>
                    </w:tc>
                  </w:tr>
                </w:tbl>
                <w:p w14:paraId="151B4CEF" w14:textId="77777777" w:rsidR="003E3505" w:rsidRPr="003E3505" w:rsidRDefault="003E3505" w:rsidP="003E3505">
                  <w:pPr>
                    <w:rPr>
                      <w:rFonts w:eastAsia="Poppins" w:cs="Poppins"/>
                      <w:szCs w:val="20"/>
                    </w:rPr>
                  </w:pPr>
                </w:p>
              </w:tc>
            </w:tr>
          </w:tbl>
          <w:p w14:paraId="1D7354CB" w14:textId="77777777" w:rsidR="003E3505" w:rsidRPr="003E3505" w:rsidRDefault="003E3505" w:rsidP="003E3505">
            <w:pPr>
              <w:rPr>
                <w:rFonts w:eastAsia="Poppins" w:cs="Poppins"/>
                <w:szCs w:val="20"/>
              </w:rPr>
            </w:pPr>
          </w:p>
        </w:tc>
      </w:tr>
    </w:tbl>
    <w:p w14:paraId="5622979E" w14:textId="77777777" w:rsidR="003E3505" w:rsidRDefault="003E3505" w:rsidP="003E3505">
      <w:pPr>
        <w:rPr>
          <w:rFonts w:eastAsia="Poppins" w:cs="Poppins"/>
          <w:szCs w:val="20"/>
        </w:rPr>
      </w:pPr>
    </w:p>
    <w:p w14:paraId="2B032C19" w14:textId="60514B3A" w:rsidR="450032BD" w:rsidRDefault="450032BD" w:rsidP="450032BD">
      <w:pPr>
        <w:rPr>
          <w:rFonts w:eastAsia="Poppins" w:cs="Poppins"/>
          <w:color w:val="000000" w:themeColor="text1"/>
          <w:szCs w:val="20"/>
        </w:rPr>
      </w:pPr>
    </w:p>
    <w:p w14:paraId="49D40A48" w14:textId="77777777" w:rsidR="006C6B7F" w:rsidRPr="006C6B7F" w:rsidRDefault="006C6B7F" w:rsidP="3EE6831C">
      <w:pPr>
        <w:rPr>
          <w:rFonts w:eastAsia="Calibri" w:cs="Poppins"/>
          <w:b/>
          <w:bCs/>
          <w:color w:val="000000"/>
        </w:rPr>
      </w:pPr>
    </w:p>
    <w:p w14:paraId="1F8B87BD" w14:textId="70A2DC37" w:rsidR="3EE6831C" w:rsidRDefault="3EE6831C" w:rsidP="3EE6831C">
      <w:pPr>
        <w:rPr>
          <w:rFonts w:eastAsia="Calibri" w:cs="Poppins"/>
          <w:b/>
          <w:bCs/>
          <w:color w:val="000000" w:themeColor="text1"/>
        </w:rPr>
      </w:pPr>
    </w:p>
    <w:p w14:paraId="59918411" w14:textId="1737D8EA" w:rsidR="3EE6831C" w:rsidRDefault="3EE6831C" w:rsidP="3EE6831C">
      <w:pPr>
        <w:rPr>
          <w:rFonts w:eastAsia="Calibri" w:cs="Poppins"/>
          <w:b/>
          <w:bCs/>
          <w:color w:val="000000" w:themeColor="text1"/>
        </w:rPr>
      </w:pPr>
    </w:p>
    <w:p w14:paraId="27B01CE5" w14:textId="61917C8A" w:rsidR="3EE6831C" w:rsidRDefault="3EE6831C" w:rsidP="3EE6831C">
      <w:pPr>
        <w:rPr>
          <w:rFonts w:eastAsia="Calibri" w:cs="Poppins"/>
          <w:b/>
          <w:bCs/>
          <w:color w:val="000000" w:themeColor="text1"/>
        </w:rPr>
      </w:pPr>
    </w:p>
    <w:p w14:paraId="6057A5A9" w14:textId="4914770E" w:rsidR="3EE6831C" w:rsidRDefault="3EE6831C" w:rsidP="3EE6831C">
      <w:pPr>
        <w:rPr>
          <w:rFonts w:eastAsia="Calibri" w:cs="Poppins"/>
          <w:b/>
          <w:bCs/>
          <w:color w:val="000000" w:themeColor="text1"/>
        </w:rPr>
      </w:pPr>
    </w:p>
    <w:p w14:paraId="248205FD" w14:textId="63D873C7" w:rsidR="3EE6831C" w:rsidRDefault="3EE6831C" w:rsidP="3EE6831C">
      <w:pPr>
        <w:rPr>
          <w:rFonts w:eastAsia="Calibri" w:cs="Poppins"/>
          <w:b/>
          <w:bCs/>
          <w:color w:val="000000" w:themeColor="text1"/>
        </w:rPr>
      </w:pPr>
    </w:p>
    <w:p w14:paraId="1A138221" w14:textId="7A735BF6" w:rsidR="3EE6831C" w:rsidRDefault="3EE6831C" w:rsidP="3EE6831C">
      <w:pPr>
        <w:rPr>
          <w:rFonts w:eastAsia="Calibri" w:cs="Poppins"/>
          <w:b/>
          <w:bCs/>
          <w:color w:val="000000" w:themeColor="text1"/>
        </w:rPr>
      </w:pPr>
    </w:p>
    <w:p w14:paraId="7ED8B05B" w14:textId="2B91B464" w:rsidR="3EE6831C" w:rsidRDefault="3EE6831C" w:rsidP="3EE6831C">
      <w:pPr>
        <w:rPr>
          <w:rFonts w:eastAsia="Calibri" w:cs="Poppins"/>
          <w:b/>
          <w:bCs/>
          <w:color w:val="000000" w:themeColor="text1"/>
        </w:rPr>
      </w:pPr>
    </w:p>
    <w:p w14:paraId="670CBBB6" w14:textId="4F6357A6" w:rsidR="3EE6831C" w:rsidRDefault="3EE6831C" w:rsidP="3EE6831C">
      <w:pPr>
        <w:rPr>
          <w:rFonts w:eastAsia="Calibri" w:cs="Poppins"/>
          <w:b/>
          <w:bCs/>
          <w:color w:val="000000" w:themeColor="text1"/>
        </w:rPr>
      </w:pPr>
    </w:p>
    <w:p w14:paraId="01D054F6" w14:textId="3992D364" w:rsidR="3EE6831C" w:rsidRDefault="3EE6831C" w:rsidP="3EE6831C">
      <w:pPr>
        <w:rPr>
          <w:rFonts w:eastAsia="Calibri" w:cs="Poppins"/>
          <w:b/>
          <w:bCs/>
          <w:color w:val="000000" w:themeColor="text1"/>
        </w:rPr>
      </w:pPr>
    </w:p>
    <w:p w14:paraId="5DF47329" w14:textId="69EC7A1D" w:rsidR="3EE6831C" w:rsidRDefault="3EE6831C" w:rsidP="3EE6831C">
      <w:pPr>
        <w:rPr>
          <w:rFonts w:eastAsia="Calibri" w:cs="Poppins"/>
          <w:b/>
          <w:bCs/>
          <w:color w:val="000000" w:themeColor="text1"/>
        </w:rPr>
      </w:pPr>
    </w:p>
    <w:p w14:paraId="5914B5DF" w14:textId="3B88BC55" w:rsidR="00C32E81" w:rsidRPr="005554AE" w:rsidRDefault="00C32E81" w:rsidP="450032BD">
      <w:pPr>
        <w:spacing w:after="240"/>
        <w:ind w:left="360"/>
        <w:rPr>
          <w:rFonts w:eastAsia="Calibri" w:cs="Poppins"/>
          <w:color w:val="000000" w:themeColor="text1"/>
        </w:rPr>
      </w:pPr>
    </w:p>
    <w:p w14:paraId="09C713F1" w14:textId="6311F60D" w:rsidR="00CD4912" w:rsidRDefault="00226ACA">
      <w:r>
        <w:rPr>
          <w:noProof/>
        </w:rPr>
        <w:drawing>
          <wp:inline distT="0" distB="0" distL="0" distR="0" wp14:anchorId="3D61299C" wp14:editId="18236CD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65391E68">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sidR="450032BD" w:rsidRPr="450032BD">
        <w:rPr>
          <w:noProof/>
        </w:rPr>
        <w:t xml:space="preserve">   </w:t>
      </w:r>
    </w:p>
    <w:sectPr w:rsidR="00CD4912" w:rsidSect="00226ACA">
      <w:headerReference w:type="default" r:id="rId27"/>
      <w:footerReference w:type="default" r:id="rId28"/>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64C6E" w14:textId="77777777" w:rsidR="0082745B" w:rsidRDefault="0082745B">
      <w:pPr>
        <w:spacing w:after="0" w:line="240" w:lineRule="auto"/>
      </w:pPr>
      <w:r>
        <w:separator/>
      </w:r>
    </w:p>
  </w:endnote>
  <w:endnote w:type="continuationSeparator" w:id="0">
    <w:p w14:paraId="5007F2D2" w14:textId="77777777" w:rsidR="0082745B" w:rsidRDefault="0082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C0BB2" w14:textId="77777777" w:rsidR="0082745B" w:rsidRDefault="0082745B">
      <w:pPr>
        <w:spacing w:after="0" w:line="240" w:lineRule="auto"/>
      </w:pPr>
      <w:r>
        <w:separator/>
      </w:r>
    </w:p>
  </w:footnote>
  <w:footnote w:type="continuationSeparator" w:id="0">
    <w:p w14:paraId="5684D7DE" w14:textId="77777777" w:rsidR="0082745B" w:rsidRDefault="00827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33"/>
  </w:num>
  <w:num w:numId="2" w16cid:durableId="127743416">
    <w:abstractNumId w:val="29"/>
  </w:num>
  <w:num w:numId="3" w16cid:durableId="1916818253">
    <w:abstractNumId w:val="31"/>
  </w:num>
  <w:num w:numId="4" w16cid:durableId="1562860064">
    <w:abstractNumId w:val="19"/>
  </w:num>
  <w:num w:numId="5" w16cid:durableId="747187781">
    <w:abstractNumId w:val="26"/>
  </w:num>
  <w:num w:numId="6" w16cid:durableId="360473614">
    <w:abstractNumId w:val="15"/>
  </w:num>
  <w:num w:numId="7" w16cid:durableId="2074813228">
    <w:abstractNumId w:val="27"/>
  </w:num>
  <w:num w:numId="8" w16cid:durableId="612904506">
    <w:abstractNumId w:val="9"/>
  </w:num>
  <w:num w:numId="9" w16cid:durableId="941183654">
    <w:abstractNumId w:val="28"/>
  </w:num>
  <w:num w:numId="10" w16cid:durableId="916745150">
    <w:abstractNumId w:val="17"/>
  </w:num>
  <w:num w:numId="11" w16cid:durableId="1211113321">
    <w:abstractNumId w:val="18"/>
  </w:num>
  <w:num w:numId="12" w16cid:durableId="444888970">
    <w:abstractNumId w:val="22"/>
  </w:num>
  <w:num w:numId="13" w16cid:durableId="1860123175">
    <w:abstractNumId w:val="11"/>
  </w:num>
  <w:num w:numId="14" w16cid:durableId="31660070">
    <w:abstractNumId w:val="14"/>
  </w:num>
  <w:num w:numId="15" w16cid:durableId="1157381680">
    <w:abstractNumId w:val="32"/>
  </w:num>
  <w:num w:numId="16" w16cid:durableId="2024474500">
    <w:abstractNumId w:val="6"/>
  </w:num>
  <w:num w:numId="17" w16cid:durableId="158468993">
    <w:abstractNumId w:val="21"/>
  </w:num>
  <w:num w:numId="18" w16cid:durableId="51200545">
    <w:abstractNumId w:val="0"/>
  </w:num>
  <w:num w:numId="19" w16cid:durableId="821049104">
    <w:abstractNumId w:val="7"/>
  </w:num>
  <w:num w:numId="20" w16cid:durableId="1487672424">
    <w:abstractNumId w:val="12"/>
  </w:num>
  <w:num w:numId="21" w16cid:durableId="1602059276">
    <w:abstractNumId w:val="8"/>
  </w:num>
  <w:num w:numId="22" w16cid:durableId="47806563">
    <w:abstractNumId w:val="10"/>
  </w:num>
  <w:num w:numId="23" w16cid:durableId="305356633">
    <w:abstractNumId w:val="25"/>
  </w:num>
  <w:num w:numId="24" w16cid:durableId="678628084">
    <w:abstractNumId w:val="23"/>
  </w:num>
  <w:num w:numId="25" w16cid:durableId="1807039519">
    <w:abstractNumId w:val="13"/>
  </w:num>
  <w:num w:numId="26" w16cid:durableId="106318828">
    <w:abstractNumId w:val="24"/>
  </w:num>
  <w:num w:numId="27" w16cid:durableId="705638243">
    <w:abstractNumId w:val="1"/>
  </w:num>
  <w:num w:numId="28" w16cid:durableId="2039157739">
    <w:abstractNumId w:val="20"/>
  </w:num>
  <w:num w:numId="29" w16cid:durableId="953944888">
    <w:abstractNumId w:val="5"/>
  </w:num>
  <w:num w:numId="30" w16cid:durableId="1225094608">
    <w:abstractNumId w:val="3"/>
  </w:num>
  <w:num w:numId="31" w16cid:durableId="1307397494">
    <w:abstractNumId w:val="30"/>
  </w:num>
  <w:num w:numId="32" w16cid:durableId="1876383235">
    <w:abstractNumId w:val="16"/>
    <w:lvlOverride w:ilvl="0"/>
    <w:lvlOverride w:ilvl="1"/>
    <w:lvlOverride w:ilvl="2"/>
    <w:lvlOverride w:ilvl="3"/>
    <w:lvlOverride w:ilvl="4"/>
    <w:lvlOverride w:ilvl="5"/>
    <w:lvlOverride w:ilvl="6"/>
    <w:lvlOverride w:ilvl="7"/>
    <w:lvlOverride w:ilvl="8"/>
  </w:num>
  <w:num w:numId="33" w16cid:durableId="668756231">
    <w:abstractNumId w:val="2"/>
    <w:lvlOverride w:ilvl="0"/>
    <w:lvlOverride w:ilvl="1"/>
    <w:lvlOverride w:ilvl="2"/>
    <w:lvlOverride w:ilvl="3"/>
    <w:lvlOverride w:ilvl="4"/>
    <w:lvlOverride w:ilvl="5"/>
    <w:lvlOverride w:ilvl="6"/>
    <w:lvlOverride w:ilvl="7"/>
    <w:lvlOverride w:ilvl="8"/>
  </w:num>
  <w:num w:numId="34" w16cid:durableId="198639777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D4903"/>
    <w:rsid w:val="00220477"/>
    <w:rsid w:val="00226ACA"/>
    <w:rsid w:val="00266E15"/>
    <w:rsid w:val="00273583"/>
    <w:rsid w:val="0027672E"/>
    <w:rsid w:val="002826A6"/>
    <w:rsid w:val="00286B7D"/>
    <w:rsid w:val="00295944"/>
    <w:rsid w:val="002A78E3"/>
    <w:rsid w:val="002E1270"/>
    <w:rsid w:val="002E15F2"/>
    <w:rsid w:val="002F004A"/>
    <w:rsid w:val="00310E21"/>
    <w:rsid w:val="00330820"/>
    <w:rsid w:val="00357A9C"/>
    <w:rsid w:val="00390A90"/>
    <w:rsid w:val="003C28F2"/>
    <w:rsid w:val="003D5D0C"/>
    <w:rsid w:val="003E3441"/>
    <w:rsid w:val="003E3505"/>
    <w:rsid w:val="00405BFA"/>
    <w:rsid w:val="00443633"/>
    <w:rsid w:val="00451283"/>
    <w:rsid w:val="004604A7"/>
    <w:rsid w:val="0046695A"/>
    <w:rsid w:val="0047795D"/>
    <w:rsid w:val="004815F6"/>
    <w:rsid w:val="004B29FC"/>
    <w:rsid w:val="004C7BB5"/>
    <w:rsid w:val="004D15B9"/>
    <w:rsid w:val="004D16A4"/>
    <w:rsid w:val="004E5660"/>
    <w:rsid w:val="004E6781"/>
    <w:rsid w:val="004F260C"/>
    <w:rsid w:val="004F700C"/>
    <w:rsid w:val="005000B1"/>
    <w:rsid w:val="00500ECF"/>
    <w:rsid w:val="00540E02"/>
    <w:rsid w:val="005418D5"/>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56DE9"/>
    <w:rsid w:val="00657D1D"/>
    <w:rsid w:val="006622DA"/>
    <w:rsid w:val="006710C0"/>
    <w:rsid w:val="00674205"/>
    <w:rsid w:val="00675D40"/>
    <w:rsid w:val="00686BDF"/>
    <w:rsid w:val="006B6E77"/>
    <w:rsid w:val="006C6B7F"/>
    <w:rsid w:val="0071082E"/>
    <w:rsid w:val="0072131F"/>
    <w:rsid w:val="00733CC7"/>
    <w:rsid w:val="00736378"/>
    <w:rsid w:val="00742A7E"/>
    <w:rsid w:val="007457BD"/>
    <w:rsid w:val="007475C0"/>
    <w:rsid w:val="0075315A"/>
    <w:rsid w:val="00754D4E"/>
    <w:rsid w:val="00791F13"/>
    <w:rsid w:val="00797007"/>
    <w:rsid w:val="007A1522"/>
    <w:rsid w:val="007B2BD0"/>
    <w:rsid w:val="007C09BF"/>
    <w:rsid w:val="007E4E3A"/>
    <w:rsid w:val="007E63EA"/>
    <w:rsid w:val="00814EEF"/>
    <w:rsid w:val="0082745B"/>
    <w:rsid w:val="008565CE"/>
    <w:rsid w:val="00882C7E"/>
    <w:rsid w:val="008A1F3D"/>
    <w:rsid w:val="008A46E3"/>
    <w:rsid w:val="008A5D11"/>
    <w:rsid w:val="008C4D88"/>
    <w:rsid w:val="008C52D4"/>
    <w:rsid w:val="008E496E"/>
    <w:rsid w:val="00947D84"/>
    <w:rsid w:val="00952320"/>
    <w:rsid w:val="0096120A"/>
    <w:rsid w:val="00987833"/>
    <w:rsid w:val="009A0A17"/>
    <w:rsid w:val="009A5BED"/>
    <w:rsid w:val="009D03D3"/>
    <w:rsid w:val="009D4885"/>
    <w:rsid w:val="009E143A"/>
    <w:rsid w:val="009E754B"/>
    <w:rsid w:val="00A106A5"/>
    <w:rsid w:val="00A34162"/>
    <w:rsid w:val="00A66668"/>
    <w:rsid w:val="00A73302"/>
    <w:rsid w:val="00A97B81"/>
    <w:rsid w:val="00AA24EE"/>
    <w:rsid w:val="00AC375B"/>
    <w:rsid w:val="00B17242"/>
    <w:rsid w:val="00B257B0"/>
    <w:rsid w:val="00B33654"/>
    <w:rsid w:val="00B36B2C"/>
    <w:rsid w:val="00B52071"/>
    <w:rsid w:val="00B712E4"/>
    <w:rsid w:val="00B85121"/>
    <w:rsid w:val="00B9262A"/>
    <w:rsid w:val="00B92E39"/>
    <w:rsid w:val="00BA2D7E"/>
    <w:rsid w:val="00BA4207"/>
    <w:rsid w:val="00BC67B5"/>
    <w:rsid w:val="00BD277B"/>
    <w:rsid w:val="00BD3602"/>
    <w:rsid w:val="00BD400A"/>
    <w:rsid w:val="00BE2FE6"/>
    <w:rsid w:val="00BF35ED"/>
    <w:rsid w:val="00C01848"/>
    <w:rsid w:val="00C24621"/>
    <w:rsid w:val="00C32E81"/>
    <w:rsid w:val="00C43DBD"/>
    <w:rsid w:val="00C543D9"/>
    <w:rsid w:val="00C6549F"/>
    <w:rsid w:val="00C65C71"/>
    <w:rsid w:val="00C9682A"/>
    <w:rsid w:val="00CA3842"/>
    <w:rsid w:val="00CB3B30"/>
    <w:rsid w:val="00CC13F5"/>
    <w:rsid w:val="00CD08CB"/>
    <w:rsid w:val="00CD4912"/>
    <w:rsid w:val="00CF61A3"/>
    <w:rsid w:val="00CF680F"/>
    <w:rsid w:val="00D11B23"/>
    <w:rsid w:val="00D31D3B"/>
    <w:rsid w:val="00D331DD"/>
    <w:rsid w:val="00D53C4B"/>
    <w:rsid w:val="00D726C0"/>
    <w:rsid w:val="00DA483A"/>
    <w:rsid w:val="00E007ED"/>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C1952"/>
    <w:rsid w:val="00FE66FE"/>
    <w:rsid w:val="0C6F2D00"/>
    <w:rsid w:val="17691895"/>
    <w:rsid w:val="2EE3F5B9"/>
    <w:rsid w:val="3EE6831C"/>
    <w:rsid w:val="450032BD"/>
    <w:rsid w:val="47299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news-events/press-announcements/fda-authorizes-first-over-counter-hearing-aid-software" TargetMode="External"/><Relationship Id="rId13" Type="http://schemas.openxmlformats.org/officeDocument/2006/relationships/hyperlink" Target="https://www.hcinnovationgroup.com/policy-value-based-care/medicare-medicaid/news/55139210/essential-health-joins-ranks-of-health-systems-ending-ma-contracts" TargetMode="External"/><Relationship Id="rId18" Type="http://schemas.openxmlformats.org/officeDocument/2006/relationships/hyperlink" Target="https://taskforce.house.gov/media-center/press-releases/task-force-statement-attempted-assassination-former-president-trump"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cde94e5686&amp;e=2027bb768c" TargetMode="External"/><Relationship Id="rId7" Type="http://schemas.openxmlformats.org/officeDocument/2006/relationships/image" Target="media/image1.png"/><Relationship Id="rId12" Type="http://schemas.openxmlformats.org/officeDocument/2006/relationships/hyperlink" Target="https://matsui.house.gov/sites/evo-subsites/matsui.house.gov/files/evo-media-document/20240903_MHAT_Letter_Leadership_FINAL.pdf" TargetMode="External"/><Relationship Id="rId17" Type="http://schemas.openxmlformats.org/officeDocument/2006/relationships/hyperlink" Target="https://www.politico.com/news/2024/09/16/biden-secret-service-needs-more-help-00179290" TargetMode="External"/><Relationship Id="rId25"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www.politico.com/news/2024/09/16/biden-secret-service-needs-more-help-00179290" TargetMode="External"/><Relationship Id="rId20" Type="http://schemas.openxmlformats.org/officeDocument/2006/relationships/hyperlink" Target="https://www.cms.gov/marketplace/private-health-insurance/mental-health-parity-addiction-equit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n.com/2024/09/13/politics/ketanji-brown-jackson-abby-phillip-cnn-interview?cid=ios_app" TargetMode="External"/><Relationship Id="rId24" Type="http://schemas.openxmlformats.org/officeDocument/2006/relationships/hyperlink" Target="https://healthsperien.us19.list-manage.com/track/click?u=b80803827ec1d826bd16eace6&amp;id=2699385091&amp;e=2027bb768c" TargetMode="External"/><Relationship Id="rId5" Type="http://schemas.openxmlformats.org/officeDocument/2006/relationships/footnotes" Target="footnotes.xml"/><Relationship Id="rId15" Type="http://schemas.openxmlformats.org/officeDocument/2006/relationships/hyperlink" Target="https://thehill.com/homenews/house/4870806-government-funding-cr-republican-opposition/" TargetMode="External"/><Relationship Id="rId23" Type="http://schemas.openxmlformats.org/officeDocument/2006/relationships/hyperlink" Target="https://healthsperien.us19.list-manage.com/track/click?u=b80803827ec1d826bd16eace6&amp;id=73d062046a&amp;e=2027bb768c" TargetMode="External"/><Relationship Id="rId28" Type="http://schemas.openxmlformats.org/officeDocument/2006/relationships/footer" Target="footer1.xml"/><Relationship Id="rId10" Type="http://schemas.openxmlformats.org/officeDocument/2006/relationships/hyperlink" Target="https://www.kff.org/medicare/issue-brief/the-connection-between-social-security-disability-benefits-and-health-coverage-through-medicaid-and-medicare/" TargetMode="External"/><Relationship Id="rId19" Type="http://schemas.openxmlformats.org/officeDocument/2006/relationships/hyperlink" Target="https://thehill.com/homenews/senate/4876992-schumer-will-force-republicans-to-vote-again-on-ivf-access/" TargetMode="External"/><Relationship Id="rId4" Type="http://schemas.openxmlformats.org/officeDocument/2006/relationships/webSettings" Target="webSettings.xml"/><Relationship Id="rId9" Type="http://schemas.openxmlformats.org/officeDocument/2006/relationships/hyperlink" Target="https://rsa.ed.gov/about/programs/disability-innovation-fund-creating-21st-centry-workforce-of-youth-and-adults-with-disabilities" TargetMode="External"/><Relationship Id="rId14" Type="http://schemas.openxmlformats.org/officeDocument/2006/relationships/hyperlink" Target="https://home.treasury.gov/news/press-releases/jy2567" TargetMode="External"/><Relationship Id="rId22" Type="http://schemas.openxmlformats.org/officeDocument/2006/relationships/hyperlink" Target="https://healthsperien.us19.list-manage.com/track/click?u=b80803827ec1d826bd16eace6&amp;id=554f6de795&amp;e=2027bb768c"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2024-09-16T21:54:00Z</dcterms:created>
  <dcterms:modified xsi:type="dcterms:W3CDTF">2024-09-16T21:54:00Z</dcterms:modified>
</cp:coreProperties>
</file>