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E1854" w14:textId="5BD3F7F1" w:rsidR="2CCB5943" w:rsidRPr="00A6231C" w:rsidRDefault="00226ACA" w:rsidP="63EB9CF4">
      <w:pPr>
        <w:pStyle w:val="Heading1"/>
        <w:rPr>
          <w:rFonts w:ascii="Aptos" w:eastAsia="Aptos" w:hAnsi="Aptos" w:cs="Aptos"/>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36378">
        <w:rPr>
          <w:rFonts w:ascii="Poppins SemiBold" w:hAnsi="Poppins SemiBold" w:cs="Poppins SemiBold"/>
          <w:noProof/>
          <w:sz w:val="32"/>
          <w:szCs w:val="32"/>
        </w:rPr>
        <w:t>Octob</w:t>
      </w:r>
      <w:bookmarkStart w:id="0" w:name="_Hlk179893262"/>
      <w:bookmarkStart w:id="1" w:name="_Hlk180409509"/>
      <w:r w:rsidRPr="00736378">
        <w:rPr>
          <w:rFonts w:ascii="Poppins SemiBold" w:hAnsi="Poppins SemiBold" w:cs="Poppins SemiBold"/>
          <w:noProof/>
          <w:sz w:val="32"/>
          <w:szCs w:val="32"/>
        </w:rPr>
        <w:t>er 2</w:t>
      </w:r>
      <w:r w:rsidR="009F7A64">
        <w:rPr>
          <w:rFonts w:ascii="Poppins SemiBold" w:hAnsi="Poppins SemiBold" w:cs="Poppins SemiBold"/>
          <w:noProof/>
          <w:sz w:val="32"/>
          <w:szCs w:val="32"/>
        </w:rPr>
        <w:t>2</w:t>
      </w:r>
      <w:r w:rsidRPr="00736378">
        <w:rPr>
          <w:rFonts w:ascii="Poppins SemiBold" w:hAnsi="Poppins SemiBold" w:cs="Poppins SemiBold"/>
          <w:noProof/>
          <w:sz w:val="32"/>
          <w:szCs w:val="32"/>
        </w:rPr>
        <w:t>, 2024</w:t>
      </w:r>
      <w:bookmarkEnd w:id="0"/>
    </w:p>
    <w:p w14:paraId="1390942D" w14:textId="4F781B35" w:rsidR="7C5811A0" w:rsidRDefault="7C5811A0" w:rsidP="7C5811A0">
      <w:pPr>
        <w:spacing w:before="240" w:after="240"/>
        <w:rPr>
          <w:rFonts w:ascii="Poppins Medium" w:eastAsia="Poppins Medium" w:hAnsi="Poppins Medium" w:cs="Poppins Medium"/>
          <w:color w:val="0F4761" w:themeColor="accent1" w:themeShade="BF"/>
          <w:sz w:val="24"/>
          <w:szCs w:val="24"/>
        </w:rPr>
      </w:pPr>
      <w:bookmarkStart w:id="2" w:name="_Hlk180409888"/>
      <w:bookmarkEnd w:id="1"/>
      <w:r w:rsidRPr="7C5811A0">
        <w:rPr>
          <w:rFonts w:ascii="Poppins Medium" w:eastAsia="Poppins Medium" w:hAnsi="Poppins Medium" w:cs="Poppins Medium"/>
          <w:color w:val="0F4761" w:themeColor="accent1" w:themeShade="BF"/>
          <w:sz w:val="24"/>
          <w:szCs w:val="24"/>
        </w:rPr>
        <w:t>John Oliver Calls on “Last Week Tonight” Viewers to Advocate for SSDI Reform</w:t>
      </w:r>
    </w:p>
    <w:p w14:paraId="610C153F" w14:textId="7CC0467C" w:rsidR="7C5811A0" w:rsidRDefault="38CF3F37" w:rsidP="7C5811A0">
      <w:pPr>
        <w:spacing w:before="240" w:after="240"/>
        <w:rPr>
          <w:rFonts w:eastAsia="Poppins" w:cs="Poppins"/>
          <w:szCs w:val="20"/>
        </w:rPr>
      </w:pPr>
      <w:r w:rsidRPr="38CF3F37">
        <w:rPr>
          <w:rFonts w:eastAsia="Poppins" w:cs="Poppins"/>
          <w:szCs w:val="20"/>
        </w:rPr>
        <w:t xml:space="preserve">In the September 22 episode of "Last Week Tonight," John Oliver </w:t>
      </w:r>
      <w:hyperlink r:id="rId9">
        <w:r w:rsidRPr="38CF3F37">
          <w:rPr>
            <w:rStyle w:val="Hyperlink"/>
            <w:rFonts w:eastAsia="Poppins" w:cs="Poppins"/>
            <w:szCs w:val="20"/>
          </w:rPr>
          <w:t>discussed</w:t>
        </w:r>
      </w:hyperlink>
      <w:r w:rsidRPr="38CF3F37">
        <w:rPr>
          <w:rFonts w:eastAsia="Poppins" w:cs="Poppins"/>
          <w:szCs w:val="20"/>
        </w:rPr>
        <w:t xml:space="preserve"> the difficulties surrounding disability benefits in the U.S., particularly the Social Security Disability Insurance (SSDI) program. He pointed out that only about 36% of applicants are approved, highlighting the lengthy and complicated application process, which often takes years. Oliver </w:t>
      </w:r>
      <w:r w:rsidR="003C3ADB">
        <w:rPr>
          <w:rFonts w:eastAsia="Poppins" w:cs="Poppins"/>
          <w:szCs w:val="20"/>
        </w:rPr>
        <w:t xml:space="preserve">also </w:t>
      </w:r>
      <w:r w:rsidRPr="38CF3F37">
        <w:rPr>
          <w:rFonts w:eastAsia="Poppins" w:cs="Poppins"/>
          <w:szCs w:val="20"/>
        </w:rPr>
        <w:t xml:space="preserve">summarized how misconceptions about disability lead to stigma. He emphasized that people in the SSDI system are </w:t>
      </w:r>
      <w:r w:rsidR="003C3ADB">
        <w:rPr>
          <w:rFonts w:eastAsia="Poppins" w:cs="Poppins"/>
          <w:szCs w:val="20"/>
        </w:rPr>
        <w:t xml:space="preserve">often </w:t>
      </w:r>
      <w:r w:rsidRPr="38CF3F37">
        <w:rPr>
          <w:rFonts w:eastAsia="Poppins" w:cs="Poppins"/>
          <w:szCs w:val="20"/>
        </w:rPr>
        <w:t>trapped in a cycle of poverty</w:t>
      </w:r>
      <w:r w:rsidR="003C3ADB">
        <w:rPr>
          <w:rFonts w:eastAsia="Poppins" w:cs="Poppins"/>
          <w:szCs w:val="20"/>
        </w:rPr>
        <w:t>, highlighting</w:t>
      </w:r>
      <w:r w:rsidRPr="38CF3F37">
        <w:rPr>
          <w:rFonts w:eastAsia="Poppins" w:cs="Poppins"/>
          <w:szCs w:val="20"/>
        </w:rPr>
        <w:t xml:space="preserve"> that roughly half of all beneficiaries have incomes below the federal poverty line even with benefit</w:t>
      </w:r>
      <w:r w:rsidRPr="38CF3F37">
        <w:rPr>
          <w:rFonts w:asciiTheme="minorHAnsi" w:eastAsiaTheme="minorEastAsia" w:hAnsiTheme="minorHAnsi"/>
          <w:szCs w:val="20"/>
        </w:rPr>
        <w:t>s.</w:t>
      </w:r>
      <w:r w:rsidRPr="38CF3F37">
        <w:rPr>
          <w:rFonts w:eastAsia="Poppins" w:cs="Poppins"/>
          <w:szCs w:val="20"/>
        </w:rPr>
        <w:t xml:space="preserve"> The segment concluded with a call to action for significant measures to improve the operations of the Social Security Administration. He specifically urged viewers to call their representatives to advocate for the Supplemental Security Income Restoration Act and the SSI Savings Penalty Elimination Act to be passed in Congress. </w:t>
      </w:r>
    </w:p>
    <w:p w14:paraId="30A656F8" w14:textId="29F28D1E" w:rsidR="4023C5C9" w:rsidRDefault="38CF3F37" w:rsidP="38CF3F37">
      <w:pPr>
        <w:spacing w:before="240" w:after="240"/>
        <w:rPr>
          <w:rFonts w:ascii="Poppins Medium" w:eastAsia="Poppins Medium" w:hAnsi="Poppins Medium" w:cs="Poppins Medium"/>
          <w:color w:val="0F4761" w:themeColor="accent1" w:themeShade="BF"/>
          <w:sz w:val="24"/>
          <w:szCs w:val="24"/>
        </w:rPr>
      </w:pPr>
      <w:bookmarkStart w:id="3" w:name="_Hlk180413659"/>
      <w:bookmarkEnd w:id="2"/>
      <w:r w:rsidRPr="38CF3F37">
        <w:rPr>
          <w:rFonts w:ascii="Poppins Medium" w:eastAsia="Poppins Medium" w:hAnsi="Poppins Medium" w:cs="Poppins Medium"/>
          <w:color w:val="0F4761" w:themeColor="accent1" w:themeShade="BF"/>
          <w:sz w:val="24"/>
          <w:szCs w:val="24"/>
        </w:rPr>
        <w:t>The Hill Summarizes the Top 5 Ways Harris and Trump Differ on Education Policy</w:t>
      </w:r>
    </w:p>
    <w:p w14:paraId="6FEF8936" w14:textId="487AF6E5" w:rsidR="4023C5C9" w:rsidRDefault="38CF3F37" w:rsidP="38CF3F37">
      <w:pPr>
        <w:spacing w:before="240" w:after="240"/>
        <w:rPr>
          <w:rFonts w:asciiTheme="minorHAnsi" w:eastAsiaTheme="minorEastAsia" w:hAnsiTheme="minorHAnsi"/>
          <w:szCs w:val="20"/>
        </w:rPr>
      </w:pPr>
      <w:r w:rsidRPr="38CF3F37">
        <w:rPr>
          <w:rFonts w:eastAsia="Poppins" w:cs="Poppins"/>
          <w:szCs w:val="20"/>
        </w:rPr>
        <w:t xml:space="preserve">A recent article by The Hill </w:t>
      </w:r>
      <w:hyperlink r:id="rId10">
        <w:r w:rsidRPr="38CF3F37">
          <w:rPr>
            <w:rStyle w:val="Hyperlink"/>
            <w:rFonts w:eastAsia="Poppins" w:cs="Poppins"/>
            <w:szCs w:val="20"/>
          </w:rPr>
          <w:t>covered</w:t>
        </w:r>
      </w:hyperlink>
      <w:r w:rsidRPr="38CF3F37">
        <w:rPr>
          <w:rFonts w:eastAsia="Poppins" w:cs="Poppins"/>
          <w:szCs w:val="20"/>
        </w:rPr>
        <w:t xml:space="preserve"> the five main way</w:t>
      </w:r>
      <w:r w:rsidRPr="38CF3F37">
        <w:rPr>
          <w:rFonts w:asciiTheme="minorHAnsi" w:eastAsiaTheme="minorEastAsia" w:hAnsiTheme="minorHAnsi"/>
          <w:szCs w:val="20"/>
        </w:rPr>
        <w:t xml:space="preserve">s </w:t>
      </w:r>
      <w:r w:rsidRPr="38CF3F37">
        <w:rPr>
          <w:rFonts w:eastAsia="Poppins" w:cs="Poppins"/>
          <w:szCs w:val="20"/>
        </w:rPr>
        <w:t xml:space="preserve">education policies proposed by Vice President Kamala Harris and former President Donald Trump differ across key areas. Harris plans to continue and expand student debt relief initiatives, while Trump opposes extensive debt forgiveness and would likely dismantle existing programs. On school choice, Trump supports universal options that allow federal funds to follow students to private or homeschool settings, whereas Harris aligns with the Democratic view that such measures weaken public education. In terms of transgender rights, Harris advocates for protections allowing transgender students access to facilities matching their identity, while Trump seeks to reverse these protections. Additionally, Trump has called for the elimination of the federal Department of Education, promoting state control, while Harris supports maintaining its role. </w:t>
      </w:r>
      <w:r w:rsidRPr="38CF3F37">
        <w:rPr>
          <w:rFonts w:eastAsia="Poppins" w:cs="Poppins"/>
          <w:szCs w:val="20"/>
        </w:rPr>
        <w:lastRenderedPageBreak/>
        <w:t>Finally, Trump threatens to cut funding for schools teaching certain controversial topics, while Harris focuses on expanding access to quality education without imposing national curriculum restrictions.</w:t>
      </w:r>
    </w:p>
    <w:p w14:paraId="3DAAFCA0" w14:textId="0F91CD22" w:rsidR="6A94D415" w:rsidRDefault="7C5811A0" w:rsidP="7C5811A0">
      <w:pPr>
        <w:spacing w:before="240" w:after="240"/>
        <w:rPr>
          <w:rFonts w:ascii="Poppins Medium" w:eastAsia="Poppins Medium" w:hAnsi="Poppins Medium" w:cs="Poppins Medium"/>
          <w:color w:val="0F4761" w:themeColor="accent1" w:themeShade="BF"/>
          <w:sz w:val="24"/>
          <w:szCs w:val="24"/>
        </w:rPr>
      </w:pPr>
      <w:r w:rsidRPr="7C5811A0">
        <w:rPr>
          <w:rFonts w:ascii="Poppins Medium" w:eastAsia="Poppins Medium" w:hAnsi="Poppins Medium" w:cs="Poppins Medium"/>
          <w:color w:val="0F4761" w:themeColor="accent1" w:themeShade="BF"/>
          <w:sz w:val="24"/>
          <w:szCs w:val="24"/>
        </w:rPr>
        <w:t>CMS Publishes Update on Actions to Protect the Integrity of FFMs</w:t>
      </w:r>
    </w:p>
    <w:p w14:paraId="61C95DBB" w14:textId="20817B7E" w:rsidR="6A94D415" w:rsidRDefault="7C5811A0" w:rsidP="7C5811A0">
      <w:pPr>
        <w:spacing w:before="240" w:after="240"/>
        <w:rPr>
          <w:rFonts w:eastAsia="Poppins" w:cs="Poppins"/>
          <w:color w:val="000000" w:themeColor="text1"/>
          <w:szCs w:val="20"/>
        </w:rPr>
      </w:pPr>
      <w:r w:rsidRPr="7C5811A0">
        <w:rPr>
          <w:rFonts w:eastAsia="Poppins" w:cs="Poppins"/>
          <w:color w:val="000000" w:themeColor="text1"/>
          <w:szCs w:val="20"/>
        </w:rPr>
        <w:t xml:space="preserve">The Centers for Medicare &amp; Medicaid Services (CMS) </w:t>
      </w:r>
      <w:hyperlink r:id="rId11">
        <w:r w:rsidRPr="7C5811A0">
          <w:rPr>
            <w:rStyle w:val="Hyperlink"/>
            <w:rFonts w:eastAsia="Poppins" w:cs="Poppins"/>
            <w:szCs w:val="20"/>
          </w:rPr>
          <w:t>released an update</w:t>
        </w:r>
      </w:hyperlink>
      <w:r w:rsidRPr="7C5811A0">
        <w:rPr>
          <w:rFonts w:eastAsia="Poppins" w:cs="Poppins"/>
          <w:color w:val="000000" w:themeColor="text1"/>
          <w:szCs w:val="20"/>
        </w:rPr>
        <w:t xml:space="preserve"> on its plans to continue exercising its statutory authority to protect the integrity of the Federally-facilitated Marketplaces (FFMs) and shield consumers from unauthorized changes to their enrollments. This will include quick responses to reviewed consumer complaints, updating systems to prevent unauthorized alterations, and providing resources to help consumers report fraudulent activities by agents and brokers. Starting July 19, 2024, CMS began implementing changes to restrict agents and brokers from modifying consumer enrollments unless associated with those accounts, requiring a three-way call for any new agent involvement. These measures led to a significant reduction in unauthorized plan changes and commission alterations, with complaints about unauthorized plan switches dropping by approximately 30% and unauthorized enrollments by 99.75% resolved. Additionally, CMS suspended 850 agents and brokers suspected of fraudulent activities. CMS aims to prioritize consumer protection and enhance oversight across its operations.</w:t>
      </w:r>
    </w:p>
    <w:p w14:paraId="6B874B26" w14:textId="08177CC0" w:rsidR="2CCB5943" w:rsidRPr="00A6231C" w:rsidRDefault="7C5811A0" w:rsidP="7C5811A0">
      <w:pPr>
        <w:pStyle w:val="Heading1"/>
        <w:rPr>
          <w:rFonts w:ascii="Poppins Medium" w:eastAsia="Poppins Medium" w:hAnsi="Poppins Medium" w:cs="Poppins Medium"/>
          <w:sz w:val="24"/>
          <w:szCs w:val="24"/>
        </w:rPr>
      </w:pPr>
      <w:r w:rsidRPr="7C5811A0">
        <w:rPr>
          <w:rFonts w:ascii="Poppins Medium" w:eastAsia="Poppins Medium" w:hAnsi="Poppins Medium" w:cs="Poppins Medium"/>
          <w:sz w:val="24"/>
          <w:szCs w:val="24"/>
        </w:rPr>
        <w:t>Senator Wyden Urges CMS to Expand the Addiction Medicine Workforce in Medicaid</w:t>
      </w:r>
    </w:p>
    <w:p w14:paraId="4B3C7CCE" w14:textId="1712836A" w:rsidR="418BFB77" w:rsidRDefault="7C5811A0" w:rsidP="7C5811A0">
      <w:pPr>
        <w:rPr>
          <w:rFonts w:eastAsia="Poppins" w:cs="Poppins"/>
          <w:color w:val="000000" w:themeColor="text1"/>
          <w:szCs w:val="20"/>
        </w:rPr>
      </w:pPr>
      <w:r w:rsidRPr="7C5811A0">
        <w:rPr>
          <w:rFonts w:eastAsia="Poppins" w:cs="Poppins"/>
          <w:color w:val="000000" w:themeColor="text1"/>
          <w:szCs w:val="20"/>
        </w:rPr>
        <w:t xml:space="preserve">Senate Finance Committee Chair Ron Wyden (D-OR) </w:t>
      </w:r>
      <w:hyperlink r:id="rId12">
        <w:r w:rsidRPr="7C5811A0">
          <w:rPr>
            <w:rStyle w:val="Hyperlink"/>
            <w:rFonts w:eastAsia="Poppins" w:cs="Poppins"/>
            <w:szCs w:val="20"/>
          </w:rPr>
          <w:t>sent a letter</w:t>
        </w:r>
      </w:hyperlink>
      <w:r w:rsidRPr="7C5811A0">
        <w:rPr>
          <w:rFonts w:eastAsia="Poppins" w:cs="Poppins"/>
          <w:color w:val="000000" w:themeColor="text1"/>
          <w:szCs w:val="20"/>
        </w:rPr>
        <w:t xml:space="preserve"> (</w:t>
      </w:r>
      <w:hyperlink r:id="rId13">
        <w:r w:rsidRPr="7C5811A0">
          <w:rPr>
            <w:rStyle w:val="Hyperlink"/>
            <w:rFonts w:eastAsia="Poppins" w:cs="Poppins"/>
            <w:szCs w:val="20"/>
          </w:rPr>
          <w:t>press release</w:t>
        </w:r>
      </w:hyperlink>
      <w:r w:rsidRPr="7C5811A0">
        <w:rPr>
          <w:rFonts w:eastAsia="Poppins" w:cs="Poppins"/>
          <w:color w:val="000000" w:themeColor="text1"/>
          <w:szCs w:val="20"/>
        </w:rPr>
        <w:t xml:space="preserve">) to the Centers for Medicare and Medicaid Services (CMS) Administrator Chiquita Brooks-LaSure and Deputy Administrator Dan Tsai encouraging the agency to issue guidance that supports the expansion of the addiction medicine workforce that provides services covered by Medicaid and the Children’s Health Insurance Plan (CHIP). In his letter, Senator Wyden emphasized the need to strengthen the addiction medicine workforce, citing residency match data from this year that showed only 51 percent of addiction psychiatry fellowship program slots filled, coupled with only 60 percent of slots for addiction medicine being filled. The Senate Finance Chair also noted that the </w:t>
      </w:r>
      <w:hyperlink r:id="rId14">
        <w:r w:rsidRPr="7C5811A0">
          <w:rPr>
            <w:rStyle w:val="Hyperlink"/>
            <w:rFonts w:eastAsia="Poppins" w:cs="Poppins"/>
            <w:szCs w:val="20"/>
          </w:rPr>
          <w:t>Consolidated Appropriations Act of 2024</w:t>
        </w:r>
      </w:hyperlink>
      <w:r w:rsidRPr="7C5811A0">
        <w:rPr>
          <w:rFonts w:eastAsia="Poppins" w:cs="Poppins"/>
          <w:color w:val="000000" w:themeColor="text1"/>
          <w:szCs w:val="20"/>
        </w:rPr>
        <w:t xml:space="preserve"> requires CMS to issue guidance to states by March 2026 on strategies to increase the accessibility of mental health and substance use disorder (SUD) providers in Medicaid and CHIP.</w:t>
      </w:r>
    </w:p>
    <w:p w14:paraId="79CE4D70" w14:textId="3D81BDA1" w:rsidR="418BFB77" w:rsidRDefault="6E8EE7DA" w:rsidP="6E8EE7DA">
      <w:pPr>
        <w:spacing w:before="240" w:after="240"/>
        <w:rPr>
          <w:rFonts w:ascii="Poppins Medium" w:eastAsia="Poppins Medium" w:hAnsi="Poppins Medium" w:cs="Poppins Medium"/>
          <w:color w:val="0F4761" w:themeColor="accent1" w:themeShade="BF"/>
          <w:sz w:val="24"/>
          <w:szCs w:val="24"/>
        </w:rPr>
      </w:pPr>
      <w:r w:rsidRPr="6E8EE7DA">
        <w:rPr>
          <w:rFonts w:ascii="Poppins Medium" w:eastAsia="Poppins Medium" w:hAnsi="Poppins Medium" w:cs="Poppins Medium"/>
          <w:color w:val="0F4761" w:themeColor="accent1" w:themeShade="BF"/>
          <w:sz w:val="24"/>
          <w:szCs w:val="24"/>
        </w:rPr>
        <w:t xml:space="preserve">Senate Democrats Release Report Showing Significant Increase in MA Coverage Denials </w:t>
      </w:r>
    </w:p>
    <w:p w14:paraId="289BCF35" w14:textId="5CD9B32F" w:rsidR="418BFB77" w:rsidRDefault="7C5811A0" w:rsidP="7C5811A0">
      <w:pPr>
        <w:rPr>
          <w:rFonts w:eastAsia="Poppins" w:cs="Poppins"/>
          <w:color w:val="000000" w:themeColor="text1"/>
          <w:szCs w:val="20"/>
        </w:rPr>
      </w:pPr>
      <w:r w:rsidRPr="7C5811A0">
        <w:rPr>
          <w:rFonts w:eastAsia="Poppins" w:cs="Poppins"/>
          <w:color w:val="000000" w:themeColor="text1"/>
          <w:szCs w:val="20"/>
        </w:rPr>
        <w:t xml:space="preserve">The Senate Homeland Security Committee’s Permanent Subcommittee on Investigations, chaired by Senator Blumenthal (D-CT), </w:t>
      </w:r>
      <w:hyperlink r:id="rId15">
        <w:r w:rsidRPr="7C5811A0">
          <w:rPr>
            <w:rStyle w:val="Hyperlink"/>
            <w:rFonts w:eastAsia="Poppins" w:cs="Poppins"/>
            <w:szCs w:val="20"/>
          </w:rPr>
          <w:t>released its findings</w:t>
        </w:r>
      </w:hyperlink>
      <w:r w:rsidRPr="7C5811A0">
        <w:rPr>
          <w:rFonts w:eastAsia="Poppins" w:cs="Poppins"/>
          <w:color w:val="000000" w:themeColor="text1"/>
          <w:szCs w:val="20"/>
        </w:rPr>
        <w:t xml:space="preserve"> after a yearlong investigation </w:t>
      </w:r>
      <w:r w:rsidRPr="7C5811A0">
        <w:rPr>
          <w:rFonts w:eastAsia="Poppins" w:cs="Poppins"/>
          <w:color w:val="000000" w:themeColor="text1"/>
          <w:szCs w:val="20"/>
        </w:rPr>
        <w:lastRenderedPageBreak/>
        <w:t>into the three largest Medicare Advantage (MA) insurers, which revealed significant increases in denials for care following hospital stays for patients between 2020 and 2022. The report was released as the federal government continues to crack down on overpayments in MA, leading some insurers to reduce the number of benefits being offered and pulling out of some counties. The report itself found that the three largest MA insurers – Humana, United Healthcare, and CVS Health’s Aetna – had their denial rates increase by over 50 percent for post-acute care services from 2020 to 2022. More specifically, the report found that in 2022, Humana denied prior authorization requests for post-acute care at a rate that was more than 16 times higher than its overall denial rate. It also found that both UnitedHealthcare and CVS denied prior authorization requests for post-acute care at rates that were about three times higher than the companies’ denial rates for all types of prior authorization requests.</w:t>
      </w:r>
    </w:p>
    <w:p w14:paraId="1DA5D765" w14:textId="00BD4B22" w:rsidR="418BFB77" w:rsidRDefault="19FD5AC2" w:rsidP="19FD5AC2">
      <w:pPr>
        <w:spacing w:before="240" w:after="240"/>
        <w:rPr>
          <w:rFonts w:ascii="Poppins Medium" w:eastAsia="Poppins Medium" w:hAnsi="Poppins Medium" w:cs="Poppins Medium"/>
          <w:color w:val="0F4761" w:themeColor="accent1" w:themeShade="BF"/>
          <w:sz w:val="24"/>
          <w:szCs w:val="24"/>
        </w:rPr>
      </w:pPr>
      <w:r w:rsidRPr="19FD5AC2">
        <w:rPr>
          <w:rFonts w:asciiTheme="minorHAnsi" w:eastAsiaTheme="minorEastAsia" w:hAnsiTheme="minorHAnsi"/>
          <w:color w:val="0F4761" w:themeColor="accent1" w:themeShade="BF"/>
          <w:sz w:val="24"/>
          <w:szCs w:val="24"/>
        </w:rPr>
        <w:t>Bipartisan House Members Urge Action Regarding Reimbursement Cuts Before 2025</w:t>
      </w:r>
    </w:p>
    <w:p w14:paraId="5394E5DB" w14:textId="7732B46C" w:rsidR="418BFB77" w:rsidRDefault="7C5811A0" w:rsidP="7C5811A0">
      <w:pPr>
        <w:spacing w:before="240" w:after="240"/>
        <w:rPr>
          <w:rFonts w:eastAsia="Poppins" w:cs="Poppins"/>
          <w:color w:val="000000" w:themeColor="text1"/>
          <w:szCs w:val="20"/>
        </w:rPr>
      </w:pPr>
      <w:r w:rsidRPr="7C5811A0">
        <w:rPr>
          <w:rFonts w:eastAsia="Poppins" w:cs="Poppins"/>
          <w:color w:val="000000" w:themeColor="text1"/>
          <w:szCs w:val="20"/>
        </w:rPr>
        <w:t xml:space="preserve">U.S. Representative Mariannette Miller-Meeks (R-IA) </w:t>
      </w:r>
      <w:hyperlink r:id="rId16">
        <w:r w:rsidRPr="7C5811A0">
          <w:rPr>
            <w:rStyle w:val="Hyperlink"/>
            <w:rFonts w:eastAsia="Poppins" w:cs="Poppins"/>
            <w:szCs w:val="20"/>
          </w:rPr>
          <w:t>led</w:t>
        </w:r>
      </w:hyperlink>
      <w:r w:rsidRPr="7C5811A0">
        <w:rPr>
          <w:rFonts w:eastAsia="Poppins" w:cs="Poppins"/>
          <w:color w:val="000000" w:themeColor="text1"/>
          <w:szCs w:val="20"/>
        </w:rPr>
        <w:t xml:space="preserve"> 232 bipartisan House members in urging House Speaker Mike Johnson (R-LA) and Minority Leader Hakeem Jeffries (D-NY) to address a scheduled 2.8% cut in Medicare reimbursement for physicians before the end of the 118th Congress. </w:t>
      </w:r>
      <w:hyperlink r:id="rId17">
        <w:r w:rsidRPr="7C5811A0">
          <w:rPr>
            <w:rStyle w:val="Hyperlink"/>
            <w:rFonts w:eastAsia="Poppins" w:cs="Poppins"/>
            <w:szCs w:val="20"/>
          </w:rPr>
          <w:t>In the letter,</w:t>
        </w:r>
      </w:hyperlink>
      <w:r w:rsidRPr="7C5811A0">
        <w:rPr>
          <w:rFonts w:eastAsia="Poppins" w:cs="Poppins"/>
          <w:color w:val="000000" w:themeColor="text1"/>
          <w:szCs w:val="20"/>
        </w:rPr>
        <w:t xml:space="preserve"> Miller-Meeks argued that with rising provider costs, the proposed 2025 Medicare physician fee payment schedule threatens patient care, particularly for rural Americans, and risks exacerbating provider burnout within the healthcare workforce. Miller-Meeks expressed her enthusiasm for bipartisan support in addressing the reimbursement cuts, highlighting the urgent need for both a temporary fix and long-term reform. The American Medical Association and the American Medical Group Association also voiced their support, emphasizing the necessity for Congress to halt the cycle of annual cuts and provide physicians with overdue payment increases to ensure continued access to quality care for patients.</w:t>
      </w:r>
    </w:p>
    <w:p w14:paraId="093F8FA3" w14:textId="3C0EB82B" w:rsidR="418BFB77" w:rsidRDefault="19FD5AC2" w:rsidP="19FD5AC2">
      <w:pPr>
        <w:spacing w:before="240" w:after="240"/>
        <w:rPr>
          <w:rFonts w:asciiTheme="minorHAnsi" w:eastAsiaTheme="minorEastAsia" w:hAnsiTheme="minorHAnsi"/>
          <w:color w:val="0F4761" w:themeColor="accent1" w:themeShade="BF"/>
          <w:sz w:val="24"/>
          <w:szCs w:val="24"/>
        </w:rPr>
      </w:pPr>
      <w:r w:rsidRPr="19FD5AC2">
        <w:rPr>
          <w:rFonts w:asciiTheme="minorHAnsi" w:eastAsiaTheme="minorEastAsia" w:hAnsiTheme="minorHAnsi"/>
          <w:color w:val="0F4761" w:themeColor="accent1" w:themeShade="BF"/>
          <w:sz w:val="24"/>
          <w:szCs w:val="24"/>
        </w:rPr>
        <w:t>CMS Approves First Ever Waiver for Medicaid and CHIP to Cover Native American Traditional Health Care Practices</w:t>
      </w:r>
    </w:p>
    <w:p w14:paraId="4AFECBEA" w14:textId="06F6B796" w:rsidR="418BFB77" w:rsidRDefault="6E8EE7DA" w:rsidP="6E8EE7DA">
      <w:pPr>
        <w:rPr>
          <w:rFonts w:eastAsia="Poppins" w:cs="Poppins"/>
          <w:color w:val="000000" w:themeColor="text1"/>
          <w:szCs w:val="20"/>
        </w:rPr>
      </w:pPr>
      <w:r w:rsidRPr="6E8EE7DA">
        <w:rPr>
          <w:rFonts w:eastAsia="Poppins" w:cs="Poppins"/>
          <w:color w:val="000000" w:themeColor="text1"/>
          <w:szCs w:val="20"/>
        </w:rPr>
        <w:t xml:space="preserve">The Department of Health and Human Services (HHS) through the Centers for Medicare and Medicaid Services (CMS) </w:t>
      </w:r>
      <w:hyperlink r:id="rId18">
        <w:r w:rsidRPr="6E8EE7DA">
          <w:rPr>
            <w:rStyle w:val="Hyperlink"/>
            <w:rFonts w:eastAsia="Poppins" w:cs="Poppins"/>
            <w:szCs w:val="20"/>
          </w:rPr>
          <w:t>approved</w:t>
        </w:r>
      </w:hyperlink>
      <w:r w:rsidRPr="6E8EE7DA">
        <w:rPr>
          <w:rFonts w:eastAsia="Poppins" w:cs="Poppins"/>
          <w:color w:val="000000" w:themeColor="text1"/>
          <w:szCs w:val="20"/>
        </w:rPr>
        <w:t xml:space="preserve"> the first ever section 1115 demonstration amendments to allow Medicaid and Children’s Health Insurance Program (CHIP) to cover traditional health care practices. Traditional health care practices in </w:t>
      </w:r>
      <w:hyperlink r:id="rId19">
        <w:r w:rsidRPr="6E8EE7DA">
          <w:rPr>
            <w:rStyle w:val="Hyperlink"/>
            <w:rFonts w:eastAsia="Poppins" w:cs="Poppins"/>
            <w:szCs w:val="20"/>
          </w:rPr>
          <w:t>Arizona</w:t>
        </w:r>
      </w:hyperlink>
      <w:r w:rsidRPr="6E8EE7DA">
        <w:rPr>
          <w:rFonts w:eastAsia="Poppins" w:cs="Poppins"/>
          <w:color w:val="000000" w:themeColor="text1"/>
          <w:szCs w:val="20"/>
        </w:rPr>
        <w:t xml:space="preserve">, </w:t>
      </w:r>
      <w:hyperlink r:id="rId20">
        <w:r w:rsidRPr="6E8EE7DA">
          <w:rPr>
            <w:rStyle w:val="Hyperlink"/>
            <w:rFonts w:eastAsia="Poppins" w:cs="Poppins"/>
            <w:szCs w:val="20"/>
          </w:rPr>
          <w:t>California</w:t>
        </w:r>
      </w:hyperlink>
      <w:r w:rsidRPr="6E8EE7DA">
        <w:rPr>
          <w:rFonts w:eastAsia="Poppins" w:cs="Poppins"/>
          <w:color w:val="000000" w:themeColor="text1"/>
          <w:szCs w:val="20"/>
        </w:rPr>
        <w:t xml:space="preserve">, </w:t>
      </w:r>
      <w:hyperlink r:id="rId21">
        <w:r w:rsidRPr="6E8EE7DA">
          <w:rPr>
            <w:rStyle w:val="Hyperlink"/>
            <w:rFonts w:eastAsia="Poppins" w:cs="Poppins"/>
            <w:szCs w:val="20"/>
          </w:rPr>
          <w:t>New Mexico</w:t>
        </w:r>
      </w:hyperlink>
      <w:r w:rsidRPr="6E8EE7DA">
        <w:rPr>
          <w:rFonts w:eastAsia="Poppins" w:cs="Poppins"/>
          <w:color w:val="000000" w:themeColor="text1"/>
          <w:szCs w:val="20"/>
        </w:rPr>
        <w:t xml:space="preserve">, and </w:t>
      </w:r>
      <w:hyperlink r:id="rId22">
        <w:r w:rsidRPr="6E8EE7DA">
          <w:rPr>
            <w:rStyle w:val="Hyperlink"/>
            <w:rFonts w:eastAsia="Poppins" w:cs="Poppins"/>
            <w:szCs w:val="20"/>
          </w:rPr>
          <w:t>Oregon</w:t>
        </w:r>
      </w:hyperlink>
      <w:r w:rsidRPr="6E8EE7DA">
        <w:rPr>
          <w:rFonts w:eastAsia="Poppins" w:cs="Poppins"/>
          <w:color w:val="000000" w:themeColor="text1"/>
          <w:szCs w:val="20"/>
        </w:rPr>
        <w:t xml:space="preserve"> will be able to cover traditional health care provided by Indian Health Service (IHS) facilities, Tribal facilities, and urban Indigenous organizations (UIO). This is expected to improve Native Americans’ access to culturally appropriate health care, improve quality of care, and improve health outcomes for tribal communities.</w:t>
      </w:r>
    </w:p>
    <w:p w14:paraId="6B34A282" w14:textId="0D31A81B" w:rsidR="418BFB77" w:rsidRDefault="19FD5AC2" w:rsidP="19FD5AC2">
      <w:pPr>
        <w:spacing w:before="240" w:after="240"/>
        <w:rPr>
          <w:rFonts w:asciiTheme="minorHAnsi" w:eastAsiaTheme="minorEastAsia" w:hAnsiTheme="minorHAnsi"/>
          <w:color w:val="0F4761" w:themeColor="accent1" w:themeShade="BF"/>
          <w:sz w:val="24"/>
          <w:szCs w:val="24"/>
        </w:rPr>
      </w:pPr>
      <w:r w:rsidRPr="19FD5AC2">
        <w:rPr>
          <w:rFonts w:asciiTheme="minorHAnsi" w:eastAsiaTheme="minorEastAsia" w:hAnsiTheme="minorHAnsi"/>
          <w:color w:val="0F4761" w:themeColor="accent1" w:themeShade="BF"/>
          <w:sz w:val="24"/>
          <w:szCs w:val="24"/>
        </w:rPr>
        <w:t>Vice President Harris and Governor Walz Release Plan for Rural Communities</w:t>
      </w:r>
    </w:p>
    <w:p w14:paraId="04B9B0C0" w14:textId="53379B3A" w:rsidR="418BFB77" w:rsidRDefault="7C5811A0" w:rsidP="7C5811A0">
      <w:pPr>
        <w:rPr>
          <w:rFonts w:eastAsia="Poppins" w:cs="Poppins"/>
          <w:color w:val="000000" w:themeColor="text1"/>
          <w:szCs w:val="20"/>
        </w:rPr>
      </w:pPr>
      <w:r w:rsidRPr="7C5811A0">
        <w:rPr>
          <w:rFonts w:eastAsia="Poppins" w:cs="Poppins"/>
          <w:color w:val="000000" w:themeColor="text1"/>
          <w:szCs w:val="20"/>
        </w:rPr>
        <w:lastRenderedPageBreak/>
        <w:t xml:space="preserve">Vice President Harris and Governor Walz released their </w:t>
      </w:r>
      <w:hyperlink r:id="rId23">
        <w:r w:rsidRPr="7C5811A0">
          <w:rPr>
            <w:rStyle w:val="Hyperlink"/>
            <w:rFonts w:eastAsia="Poppins" w:cs="Poppins"/>
            <w:szCs w:val="20"/>
          </w:rPr>
          <w:t>plan</w:t>
        </w:r>
      </w:hyperlink>
      <w:r w:rsidRPr="7C5811A0">
        <w:rPr>
          <w:rFonts w:eastAsia="Poppins" w:cs="Poppins"/>
          <w:color w:val="000000" w:themeColor="text1"/>
          <w:szCs w:val="20"/>
        </w:rPr>
        <w:t xml:space="preserve"> for rural communities. The plan focuses heavily on health care workforce, affordability, and accessibility. Key elements include:</w:t>
      </w:r>
    </w:p>
    <w:p w14:paraId="71D68D7E" w14:textId="402586E2"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Recruiting 10,000 rural health care providers through expanded scholarships, loan forgiveness, pipeline programs, and grants to train and fund rural community health workers</w:t>
      </w:r>
    </w:p>
    <w:p w14:paraId="5712AE68" w14:textId="40E1B38D"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Permanently extending Medicare coverage of telehealth benefits and doubling federal grant funding for rural telehealth equipment and technology</w:t>
      </w:r>
    </w:p>
    <w:p w14:paraId="43377253" w14:textId="3C9BD77B"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Halving the number of ambulance deserts through EMT financial and technical supports and funding for volunteer EMS programs</w:t>
      </w:r>
    </w:p>
    <w:p w14:paraId="7D6E6B07" w14:textId="1E0B8B85"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Protecting and expanding independent pharmacies through pharmacy benefit manager (PBM) reform</w:t>
      </w:r>
    </w:p>
    <w:p w14:paraId="2A462C76" w14:textId="446E82B7"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Supporting rural hospitals providing inpatient care by strengthening Medicare’s Rural Emergency Hospital Designation</w:t>
      </w:r>
    </w:p>
    <w:p w14:paraId="0E130609" w14:textId="5D348826"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Lowering prescription drug costs through continued Medicare drug price negotiations.</w:t>
      </w:r>
    </w:p>
    <w:p w14:paraId="6C646F06" w14:textId="1636CC0A"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Committing to veto a national abortion ban law and signing a law restoring women’s reproductive freedoms</w:t>
      </w:r>
    </w:p>
    <w:p w14:paraId="6FB154F7" w14:textId="35FA4BB6"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Introducing the Medicare at Home program which would support seniors living independently and their caregivers by covering robust home care to Medicare beneficiaries</w:t>
      </w:r>
    </w:p>
    <w:p w14:paraId="7C6DCC46" w14:textId="2964AEC6"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Protecting and strengthening social security by increasing taxes on the super wealth</w:t>
      </w:r>
    </w:p>
    <w:p w14:paraId="4D7A06A5" w14:textId="4092C42D" w:rsidR="418BFB77" w:rsidRDefault="63EB9CF4" w:rsidP="63EB9CF4">
      <w:pPr>
        <w:pStyle w:val="ListParagraph"/>
        <w:numPr>
          <w:ilvl w:val="0"/>
          <w:numId w:val="17"/>
        </w:numPr>
        <w:rPr>
          <w:rFonts w:eastAsia="Poppins" w:cs="Poppins"/>
          <w:color w:val="000000" w:themeColor="text1"/>
          <w:szCs w:val="20"/>
        </w:rPr>
      </w:pPr>
      <w:r w:rsidRPr="63EB9CF4">
        <w:rPr>
          <w:rFonts w:eastAsia="Poppins" w:cs="Poppins"/>
          <w:color w:val="000000" w:themeColor="text1"/>
          <w:szCs w:val="20"/>
        </w:rPr>
        <w:t>Reducing the cost of childcare by increasing the supply of providers and expanding the Child Tax Credit</w:t>
      </w:r>
    </w:p>
    <w:p w14:paraId="5E4FA67A" w14:textId="1B938152" w:rsidR="418BFB77" w:rsidRDefault="117F3876" w:rsidP="117F3876">
      <w:pPr>
        <w:pStyle w:val="ListParagraph"/>
        <w:numPr>
          <w:ilvl w:val="0"/>
          <w:numId w:val="17"/>
        </w:numPr>
        <w:spacing w:before="240" w:after="240"/>
        <w:rPr>
          <w:rFonts w:eastAsia="Poppins" w:cs="Poppins"/>
          <w:color w:val="000000" w:themeColor="text1"/>
          <w:szCs w:val="20"/>
        </w:rPr>
      </w:pPr>
      <w:r w:rsidRPr="117F3876">
        <w:rPr>
          <w:rFonts w:eastAsia="Poppins" w:cs="Poppins"/>
          <w:color w:val="000000" w:themeColor="text1"/>
          <w:szCs w:val="20"/>
        </w:rPr>
        <w:t>Reenacting the Affordable Connectivity Program to help rural and tribal families have access to reliable, affordable internet</w:t>
      </w:r>
    </w:p>
    <w:p w14:paraId="63F22B35" w14:textId="0E5D9797" w:rsidR="418BFB77" w:rsidRDefault="19FD5AC2" w:rsidP="19FD5AC2">
      <w:pPr>
        <w:spacing w:before="240" w:after="240"/>
        <w:rPr>
          <w:rFonts w:asciiTheme="minorHAnsi" w:eastAsiaTheme="minorEastAsia" w:hAnsiTheme="minorHAnsi"/>
          <w:color w:val="0F4761" w:themeColor="accent1" w:themeShade="BF"/>
          <w:sz w:val="24"/>
          <w:szCs w:val="24"/>
        </w:rPr>
      </w:pPr>
      <w:r w:rsidRPr="19FD5AC2">
        <w:rPr>
          <w:rFonts w:asciiTheme="minorHAnsi" w:eastAsiaTheme="minorEastAsia" w:hAnsiTheme="minorHAnsi"/>
          <w:color w:val="0F4761" w:themeColor="accent1" w:themeShade="BF"/>
          <w:sz w:val="24"/>
          <w:szCs w:val="24"/>
        </w:rPr>
        <w:t>KFF Study Shows First Decline in Teenage Overdoses Since the Start of the Pandemic</w:t>
      </w:r>
    </w:p>
    <w:p w14:paraId="2728AC8C" w14:textId="44903C52" w:rsidR="418BFB77" w:rsidRDefault="117F3876" w:rsidP="117F3876">
      <w:pPr>
        <w:rPr>
          <w:rFonts w:eastAsia="Poppins" w:cs="Poppins"/>
          <w:color w:val="000000" w:themeColor="text1"/>
          <w:szCs w:val="20"/>
        </w:rPr>
      </w:pPr>
      <w:r w:rsidRPr="117F3876">
        <w:rPr>
          <w:rFonts w:eastAsia="Poppins" w:cs="Poppins"/>
          <w:color w:val="000000" w:themeColor="text1"/>
          <w:szCs w:val="20"/>
        </w:rPr>
        <w:t xml:space="preserve">The Kaiser Family Foundation (KFF) </w:t>
      </w:r>
      <w:hyperlink r:id="rId24">
        <w:r w:rsidRPr="117F3876">
          <w:rPr>
            <w:rStyle w:val="Hyperlink"/>
            <w:rFonts w:eastAsia="Poppins" w:cs="Poppins"/>
            <w:szCs w:val="20"/>
          </w:rPr>
          <w:t>published</w:t>
        </w:r>
      </w:hyperlink>
      <w:r w:rsidRPr="117F3876">
        <w:rPr>
          <w:rFonts w:eastAsia="Poppins" w:cs="Poppins"/>
          <w:color w:val="000000" w:themeColor="text1"/>
          <w:szCs w:val="20"/>
        </w:rPr>
        <w:t xml:space="preserve"> a study that shows a decline in teenage drug and alcohol overdoses for the first time since the onset of the pandemic, when adolescent overdose fatalities spiked from 282 deaths in 2019 to 546 deaths in 2020. Fentanyl remains a major driver of these deaths, accounting for 76% of adolescent overdose fatalities in 2023, although the annual increase in fentanyl-related deaths slowed to 2%. Social media has been found to play a significant role in the crisis, with teens often obtaining drugs contaminated with fentanyl through these platforms. Efforts to combat the crisis include federal policies under the Biden-Harris administration, such as over-the-counter naloxone access, expanded substance use education and treatment, and the creation of the Kids Online Health and Safety Task Force to prevent drug sales online. While solutions like school-based interventions and naloxone stocking policies are being implemented, the future of youth drug prevention </w:t>
      </w:r>
      <w:r w:rsidRPr="117F3876">
        <w:rPr>
          <w:rFonts w:eastAsia="Poppins" w:cs="Poppins"/>
          <w:color w:val="000000" w:themeColor="text1"/>
          <w:szCs w:val="20"/>
        </w:rPr>
        <w:lastRenderedPageBreak/>
        <w:t xml:space="preserve">efforts will also depend on the 2024 election, given the </w:t>
      </w:r>
      <w:hyperlink r:id="rId25" w:anchor="opioids">
        <w:r w:rsidRPr="117F3876">
          <w:rPr>
            <w:rStyle w:val="Hyperlink"/>
            <w:rFonts w:eastAsia="Poppins" w:cs="Poppins"/>
            <w:szCs w:val="20"/>
          </w:rPr>
          <w:t>differing approaches</w:t>
        </w:r>
      </w:hyperlink>
      <w:r w:rsidRPr="117F3876">
        <w:rPr>
          <w:rFonts w:eastAsia="Poppins" w:cs="Poppins"/>
          <w:color w:val="000000" w:themeColor="text1"/>
          <w:szCs w:val="20"/>
        </w:rPr>
        <w:t xml:space="preserve"> of both presidential candidates to addressing the crisis.</w:t>
      </w:r>
    </w:p>
    <w:p w14:paraId="2D87D163" w14:textId="5F6A21DA" w:rsidR="418BFB77" w:rsidRDefault="19FD5AC2" w:rsidP="19FD5AC2">
      <w:pPr>
        <w:spacing w:before="240" w:after="240"/>
        <w:rPr>
          <w:rFonts w:asciiTheme="minorHAnsi" w:eastAsiaTheme="minorEastAsia" w:hAnsiTheme="minorHAnsi"/>
          <w:color w:val="0F4761" w:themeColor="accent1" w:themeShade="BF"/>
          <w:sz w:val="24"/>
          <w:szCs w:val="24"/>
        </w:rPr>
      </w:pPr>
      <w:r w:rsidRPr="19FD5AC2">
        <w:rPr>
          <w:rFonts w:asciiTheme="minorHAnsi" w:eastAsiaTheme="minorEastAsia" w:hAnsiTheme="minorHAnsi"/>
          <w:color w:val="0F4761" w:themeColor="accent1" w:themeShade="BF"/>
          <w:sz w:val="24"/>
          <w:szCs w:val="24"/>
        </w:rPr>
        <w:t>Urban Institute Publishes Report on Health Care Affordability in ESI and Private Nongroup Coverage</w:t>
      </w:r>
    </w:p>
    <w:p w14:paraId="3AB30EB6" w14:textId="2B70864E" w:rsidR="418BFB77" w:rsidRDefault="7C5811A0" w:rsidP="7C5811A0">
      <w:pPr>
        <w:rPr>
          <w:rFonts w:eastAsia="Poppins" w:cs="Poppins"/>
          <w:color w:val="000000" w:themeColor="text1"/>
          <w:szCs w:val="20"/>
        </w:rPr>
      </w:pPr>
      <w:r w:rsidRPr="7C5811A0">
        <w:rPr>
          <w:rFonts w:eastAsia="Poppins" w:cs="Poppins"/>
          <w:color w:val="000000" w:themeColor="text1"/>
          <w:szCs w:val="20"/>
        </w:rPr>
        <w:t xml:space="preserve">The Urban Institute published a report on </w:t>
      </w:r>
      <w:hyperlink r:id="rId26">
        <w:r w:rsidRPr="7C5811A0">
          <w:rPr>
            <w:rStyle w:val="Hyperlink"/>
            <w:rFonts w:eastAsia="Poppins" w:cs="Poppins"/>
            <w:i/>
            <w:iCs/>
            <w:szCs w:val="20"/>
          </w:rPr>
          <w:t>Health Care Affordability in Employer versus Private Nongroup Coverage Before ARPA</w:t>
        </w:r>
      </w:hyperlink>
      <w:r w:rsidRPr="7C5811A0">
        <w:rPr>
          <w:rFonts w:eastAsia="Poppins" w:cs="Poppins"/>
          <w:color w:val="000000" w:themeColor="text1"/>
          <w:szCs w:val="20"/>
        </w:rPr>
        <w:t>. Researchers studied nonelderly adults in families where every person had full-year continuous coverage through their plan data from 2016-2019. The report intentionally excludes data from years impacted by the Marketplace premium tax credits from the American Rescue Plan Act (ARPA) of 2021. Key findings include:</w:t>
      </w:r>
    </w:p>
    <w:p w14:paraId="117E7A35" w14:textId="421BFD99" w:rsidR="418BFB77" w:rsidRDefault="63EB9CF4" w:rsidP="63EB9CF4">
      <w:pPr>
        <w:pStyle w:val="ListParagraph"/>
        <w:numPr>
          <w:ilvl w:val="0"/>
          <w:numId w:val="6"/>
        </w:numPr>
        <w:rPr>
          <w:rFonts w:eastAsia="Poppins" w:cs="Poppins"/>
          <w:color w:val="000000" w:themeColor="text1"/>
          <w:szCs w:val="20"/>
        </w:rPr>
      </w:pPr>
      <w:r w:rsidRPr="63EB9CF4">
        <w:rPr>
          <w:rFonts w:eastAsia="Poppins" w:cs="Poppins"/>
          <w:color w:val="000000" w:themeColor="text1"/>
          <w:szCs w:val="20"/>
        </w:rPr>
        <w:t>Adults with nongroup coverage reported higher per-person out of pocket premiums and healthcare costs than adults with employer sponsored insurance (ESI). Adults with nongroup coverage were more than twice as likely to report paying more than 10% of the family’s income towards healthcare costs. Additionally, 24% lower income adults with nongroup coverage reported out of pocket costs that were greater than 10% of the family’s income.</w:t>
      </w:r>
    </w:p>
    <w:p w14:paraId="3F77D256" w14:textId="1206F54F" w:rsidR="418BFB77" w:rsidRDefault="63EB9CF4" w:rsidP="63EB9CF4">
      <w:pPr>
        <w:pStyle w:val="ListParagraph"/>
        <w:numPr>
          <w:ilvl w:val="0"/>
          <w:numId w:val="6"/>
        </w:numPr>
        <w:rPr>
          <w:rFonts w:eastAsia="Poppins" w:cs="Poppins"/>
          <w:color w:val="000000" w:themeColor="text1"/>
          <w:szCs w:val="20"/>
        </w:rPr>
      </w:pPr>
      <w:r w:rsidRPr="63EB9CF4">
        <w:rPr>
          <w:rFonts w:eastAsia="Poppins" w:cs="Poppins"/>
          <w:color w:val="000000" w:themeColor="text1"/>
          <w:szCs w:val="20"/>
        </w:rPr>
        <w:t>36.4% of adults with nongroup coverage and 21.8% of adults with ESI reported delaying or foregoing medical care, dental care, or prescription drug use in the past year due to cost. Families with incomes at or below 400% the Federal Poverty Level (FPL) had the highest disparity between nongroup coverage and ESI with regards to delayed or foregone care.</w:t>
      </w:r>
    </w:p>
    <w:p w14:paraId="24865B73" w14:textId="418E5836" w:rsidR="418BFB77" w:rsidRDefault="63EB9CF4" w:rsidP="63EB9CF4">
      <w:pPr>
        <w:pStyle w:val="ListParagraph"/>
        <w:numPr>
          <w:ilvl w:val="0"/>
          <w:numId w:val="6"/>
        </w:numPr>
        <w:rPr>
          <w:rFonts w:eastAsia="Poppins" w:cs="Poppins"/>
          <w:color w:val="000000" w:themeColor="text1"/>
          <w:szCs w:val="20"/>
        </w:rPr>
      </w:pPr>
      <w:r w:rsidRPr="63EB9CF4">
        <w:rPr>
          <w:rFonts w:eastAsia="Poppins" w:cs="Poppins"/>
          <w:color w:val="000000" w:themeColor="text1"/>
          <w:szCs w:val="20"/>
        </w:rPr>
        <w:t>10.2% of adults with nongroup coverage and 6.9% of adults with ESI reported issues with paying family medical bills in the last year. Regardless of insurance type, 1 in 7 adults with family incomes at or below 200% FPL reported problems paying for medical bills.</w:t>
      </w:r>
    </w:p>
    <w:p w14:paraId="7F39E68F" w14:textId="0DCD6FF2" w:rsidR="418BFB77" w:rsidRDefault="63EB9CF4" w:rsidP="63EB9CF4">
      <w:pPr>
        <w:pStyle w:val="ListParagraph"/>
        <w:numPr>
          <w:ilvl w:val="0"/>
          <w:numId w:val="6"/>
        </w:numPr>
        <w:rPr>
          <w:rFonts w:eastAsia="Poppins" w:cs="Poppins"/>
          <w:color w:val="000000" w:themeColor="text1"/>
          <w:szCs w:val="20"/>
        </w:rPr>
      </w:pPr>
      <w:r w:rsidRPr="63EB9CF4">
        <w:rPr>
          <w:rFonts w:eastAsia="Poppins" w:cs="Poppins"/>
          <w:color w:val="000000" w:themeColor="text1"/>
          <w:szCs w:val="20"/>
        </w:rPr>
        <w:t>Adults with ESI had higher average incomes and fewer health needs than adults with nongroup coverage. However, income and health needs did not fully explain differences in affordability.</w:t>
      </w:r>
    </w:p>
    <w:p w14:paraId="7FE3312F" w14:textId="3EA2AA4B" w:rsidR="418BFB77" w:rsidRPr="003C3ADB" w:rsidRDefault="63EB9CF4" w:rsidP="003C3ADB">
      <w:pPr>
        <w:rPr>
          <w:rFonts w:eastAsia="Poppins" w:cs="Poppins"/>
          <w:color w:val="000000" w:themeColor="text1"/>
          <w:szCs w:val="20"/>
        </w:rPr>
      </w:pPr>
      <w:r w:rsidRPr="63EB9CF4">
        <w:rPr>
          <w:rFonts w:eastAsia="Poppins" w:cs="Poppins"/>
          <w:color w:val="000000" w:themeColor="text1"/>
          <w:szCs w:val="20"/>
        </w:rPr>
        <w:t>The report urges Congress to address affordability problems for families with nongroup insurance by Spring 2025.</w:t>
      </w:r>
    </w:p>
    <w:p w14:paraId="72760AC0" w14:textId="21E793A5" w:rsidR="4ADDFB5A" w:rsidRDefault="418BFB77" w:rsidP="00A6231C">
      <w:pPr>
        <w:pStyle w:val="Heading1"/>
        <w:spacing w:before="0" w:line="240" w:lineRule="auto"/>
        <w:rPr>
          <w:rFonts w:ascii="Poppins SemiBold" w:hAnsi="Poppins SemiBold" w:cs="Poppins SemiBold"/>
          <w:sz w:val="32"/>
          <w:szCs w:val="32"/>
        </w:rPr>
      </w:pPr>
      <w:bookmarkStart w:id="4" w:name="_Hlk178082275"/>
      <w:r w:rsidRPr="418BFB77">
        <w:rPr>
          <w:rFonts w:ascii="Poppins SemiBold" w:hAnsi="Poppins SemiBold" w:cs="Poppins SemiBold"/>
          <w:sz w:val="32"/>
          <w:szCs w:val="32"/>
        </w:rPr>
        <w:t>What’s on Tap</w:t>
      </w:r>
      <w:bookmarkEnd w:id="4"/>
    </w:p>
    <w:p w14:paraId="46E46167" w14:textId="59DCB184" w:rsidR="418BFB77" w:rsidRPr="004151D8" w:rsidRDefault="004151D8" w:rsidP="004151D8">
      <w:pPr>
        <w:rPr>
          <w:rFonts w:cs="Poppins"/>
          <w:szCs w:val="20"/>
        </w:rPr>
      </w:pPr>
      <w:r w:rsidRPr="004151D8">
        <w:rPr>
          <w:rFonts w:cs="Poppins"/>
          <w:szCs w:val="20"/>
        </w:rPr>
        <w:t xml:space="preserve">Upon Congress’ return to session on November 12, the top priority will continue to be to address funding for the federal government for the next fiscal year. Speaker Mike Johnson (R-LA) continues to vow that Congress will avoid another year end omnibus package but will have to clear several hurdles to avoid it. Telehealth flexibilities add another item to the agenda for lawmakers, as they are set to expire at the end of the year. Members of Congress will also need to address the National Defense Authorization Act amid several ongoing </w:t>
      </w:r>
      <w:r w:rsidRPr="004151D8">
        <w:rPr>
          <w:rFonts w:cs="Poppins"/>
          <w:szCs w:val="20"/>
        </w:rPr>
        <w:lastRenderedPageBreak/>
        <w:t>conflicts throughout the globe. Lawmakers in both parties eagerly await action on the farm bill, with Minority Leader Hakeem Jeffries noting it will be a priority for the lame duck session. Senate Democrats will likely prioritize appointments of the federal judiciary, especially if they lose control of the chamber in the upcoming election.</w:t>
      </w:r>
    </w:p>
    <w:p w14:paraId="3C412830" w14:textId="0293081F" w:rsidR="6E8EE7DA" w:rsidRPr="004151D8" w:rsidRDefault="6E8EE7DA" w:rsidP="004151D8">
      <w:pPr>
        <w:pStyle w:val="Heading1"/>
        <w:spacing w:before="0" w:line="240" w:lineRule="auto"/>
        <w:rPr>
          <w:rFonts w:ascii="Poppins SemiBold" w:hAnsi="Poppins SemiBold" w:cs="Poppins SemiBold"/>
          <w:sz w:val="8"/>
          <w:szCs w:val="8"/>
        </w:rPr>
      </w:pPr>
      <w:bookmarkStart w:id="5" w:name="_Hlk178082282"/>
      <w:r w:rsidRPr="6E8EE7DA">
        <w:rPr>
          <w:rFonts w:ascii="Poppins SemiBold" w:hAnsi="Poppins SemiBold" w:cs="Poppins SemiBold"/>
          <w:sz w:val="32"/>
          <w:szCs w:val="32"/>
        </w:rPr>
        <w:t xml:space="preserve">Upcoming Events </w:t>
      </w:r>
      <w:bookmarkEnd w:id="5"/>
    </w:p>
    <w:p w14:paraId="43438919" w14:textId="77475DDB" w:rsidR="6E8EE7DA" w:rsidRDefault="6E8EE7DA" w:rsidP="6E8EE7DA">
      <w:pPr>
        <w:pStyle w:val="paragraph"/>
        <w:spacing w:before="0" w:beforeAutospacing="0" w:after="80" w:afterAutospacing="0"/>
        <w:rPr>
          <w:rFonts w:ascii="Poppins" w:eastAsia="Poppins" w:hAnsi="Poppins" w:cs="Poppins"/>
          <w:color w:val="000000" w:themeColor="text1"/>
          <w:sz w:val="20"/>
          <w:szCs w:val="20"/>
        </w:rPr>
      </w:pPr>
      <w:r w:rsidRPr="6E8EE7DA">
        <w:rPr>
          <w:rFonts w:ascii="Poppins" w:eastAsia="Poppins" w:hAnsi="Poppins" w:cs="Poppins"/>
          <w:color w:val="000000" w:themeColor="text1"/>
          <w:sz w:val="20"/>
          <w:szCs w:val="20"/>
        </w:rPr>
        <w:t xml:space="preserve">On Thursday, HHS will </w:t>
      </w:r>
      <w:hyperlink r:id="rId27">
        <w:r w:rsidRPr="6E8EE7DA">
          <w:rPr>
            <w:rStyle w:val="Hyperlink"/>
            <w:rFonts w:ascii="Poppins" w:eastAsia="Poppins" w:hAnsi="Poppins" w:cs="Poppins"/>
            <w:sz w:val="20"/>
            <w:szCs w:val="20"/>
          </w:rPr>
          <w:t>host</w:t>
        </w:r>
      </w:hyperlink>
      <w:r w:rsidRPr="6E8EE7DA">
        <w:rPr>
          <w:rFonts w:ascii="Poppins" w:eastAsia="Poppins" w:hAnsi="Poppins" w:cs="Poppins"/>
          <w:color w:val="000000" w:themeColor="text1"/>
          <w:sz w:val="20"/>
          <w:szCs w:val="20"/>
        </w:rPr>
        <w:t xml:space="preserve"> an event on ASTP’s information sharing, from 2:00pm to 3:00 pm. </w:t>
      </w:r>
    </w:p>
    <w:p w14:paraId="262DB769" w14:textId="73EB623E" w:rsidR="6E8EE7DA" w:rsidRDefault="6E8EE7DA" w:rsidP="6E8EE7DA">
      <w:pPr>
        <w:pStyle w:val="paragraph"/>
        <w:spacing w:before="0" w:beforeAutospacing="0" w:after="80" w:afterAutospacing="0"/>
        <w:rPr>
          <w:rFonts w:ascii="Poppins" w:eastAsia="Poppins" w:hAnsi="Poppins" w:cs="Poppins"/>
          <w:color w:val="000000" w:themeColor="text1"/>
          <w:sz w:val="20"/>
          <w:szCs w:val="20"/>
        </w:rPr>
      </w:pPr>
    </w:p>
    <w:p w14:paraId="1CCA91B3" w14:textId="6C557A2E" w:rsidR="7C5811A0" w:rsidRDefault="6E8EE7DA" w:rsidP="7C5811A0">
      <w:pPr>
        <w:pStyle w:val="paragraph"/>
        <w:spacing w:before="0" w:beforeAutospacing="0" w:after="80" w:afterAutospacing="0"/>
        <w:rPr>
          <w:rFonts w:ascii="Poppins" w:eastAsia="Poppins" w:hAnsi="Poppins" w:cs="Poppins"/>
          <w:color w:val="000000" w:themeColor="text1"/>
          <w:sz w:val="20"/>
          <w:szCs w:val="20"/>
        </w:rPr>
      </w:pPr>
      <w:r w:rsidRPr="6E8EE7DA">
        <w:rPr>
          <w:rFonts w:ascii="Poppins" w:eastAsia="Poppins" w:hAnsi="Poppins" w:cs="Poppins"/>
          <w:color w:val="000000" w:themeColor="text1"/>
          <w:sz w:val="20"/>
          <w:szCs w:val="20"/>
        </w:rPr>
        <w:t xml:space="preserve">On November 20 through November 21, the National Alliance for Caregiving will </w:t>
      </w:r>
      <w:hyperlink r:id="rId28">
        <w:r w:rsidRPr="6E8EE7DA">
          <w:rPr>
            <w:rStyle w:val="Hyperlink"/>
            <w:rFonts w:ascii="Poppins" w:eastAsia="Poppins" w:hAnsi="Poppins" w:cs="Poppins"/>
            <w:sz w:val="20"/>
            <w:szCs w:val="20"/>
          </w:rPr>
          <w:t>host</w:t>
        </w:r>
      </w:hyperlink>
      <w:r w:rsidRPr="6E8EE7DA">
        <w:rPr>
          <w:rFonts w:ascii="Poppins" w:eastAsia="Poppins" w:hAnsi="Poppins" w:cs="Poppins"/>
          <w:color w:val="000000" w:themeColor="text1"/>
          <w:sz w:val="20"/>
          <w:szCs w:val="20"/>
        </w:rPr>
        <w:t xml:space="preserve"> a Caregiver Nation Summit.</w:t>
      </w:r>
    </w:p>
    <w:p w14:paraId="24BAA975" w14:textId="6D46E925" w:rsidR="59B2321F" w:rsidRDefault="59B2321F" w:rsidP="00A6231C">
      <w:pPr>
        <w:pStyle w:val="paragraph"/>
        <w:spacing w:before="0" w:beforeAutospacing="0" w:after="80" w:afterAutospacing="0"/>
        <w:rPr>
          <w:rFonts w:ascii="Poppins" w:eastAsia="Poppins" w:hAnsi="Poppins" w:cs="Poppins"/>
          <w:color w:val="000000" w:themeColor="text1"/>
          <w:sz w:val="20"/>
          <w:szCs w:val="20"/>
        </w:rPr>
      </w:pPr>
    </w:p>
    <w:bookmarkEnd w:id="3"/>
    <w:p w14:paraId="09C713F1" w14:textId="5A0AA1BC" w:rsidR="00CD4912" w:rsidRPr="004A2DE4" w:rsidRDefault="00CD4912" w:rsidP="00A6231C">
      <w:pPr>
        <w:pStyle w:val="paragraph"/>
        <w:spacing w:before="0" w:beforeAutospacing="0" w:after="80" w:afterAutospacing="0"/>
        <w:rPr>
          <w:rFonts w:ascii="Poppins" w:eastAsia="Poppins" w:hAnsi="Poppins" w:cs="Poppins"/>
          <w:sz w:val="20"/>
          <w:szCs w:val="20"/>
        </w:rPr>
      </w:pPr>
    </w:p>
    <w:sectPr w:rsidR="00CD4912" w:rsidRPr="004A2DE4" w:rsidSect="00226ACA">
      <w:headerReference w:type="default" r:id="rId29"/>
      <w:footerReference w:type="default" r:id="rId30"/>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BAB08" w14:textId="77777777" w:rsidR="00113D8C" w:rsidRDefault="00113D8C">
      <w:pPr>
        <w:spacing w:after="0" w:line="240" w:lineRule="auto"/>
      </w:pPr>
      <w:r>
        <w:separator/>
      </w:r>
    </w:p>
  </w:endnote>
  <w:endnote w:type="continuationSeparator" w:id="0">
    <w:p w14:paraId="21CB9A0F" w14:textId="77777777" w:rsidR="00113D8C" w:rsidRDefault="0011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577A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v:fill opacity="39321f"/>
              <v:textbox>
                <w:txbxContent>
                  <w:p w:rsidRPr="00107726" w:rsidR="00C65C71" w:rsidP="00807596" w:rsidRDefault="00000000" w14:paraId="1D4D94D4" w14:textId="77777777">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EF22C" w14:textId="77777777" w:rsidR="00113D8C" w:rsidRDefault="00113D8C">
      <w:pPr>
        <w:spacing w:after="0" w:line="240" w:lineRule="auto"/>
      </w:pPr>
      <w:r>
        <w:separator/>
      </w:r>
    </w:p>
  </w:footnote>
  <w:footnote w:type="continuationSeparator" w:id="0">
    <w:p w14:paraId="7B814EB2" w14:textId="77777777" w:rsidR="00113D8C" w:rsidRDefault="00113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6"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8"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9"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3"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4"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5"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16"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8"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21"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22"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2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28"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29"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30"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33"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35"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40"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41"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42"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43"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44"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45"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46"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47"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50"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52"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54"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55"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56"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57"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61"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63"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64"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65"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66"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69"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71"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72"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73"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74"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78"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80"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81"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83"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85"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86"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87"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88"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89"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90"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694234722">
    <w:abstractNumId w:val="34"/>
  </w:num>
  <w:num w:numId="2" w16cid:durableId="129253285">
    <w:abstractNumId w:val="42"/>
  </w:num>
  <w:num w:numId="3" w16cid:durableId="1305427931">
    <w:abstractNumId w:val="71"/>
  </w:num>
  <w:num w:numId="4" w16cid:durableId="1639796725">
    <w:abstractNumId w:val="28"/>
  </w:num>
  <w:num w:numId="5" w16cid:durableId="2051025335">
    <w:abstractNumId w:val="44"/>
  </w:num>
  <w:num w:numId="6" w16cid:durableId="1382903003">
    <w:abstractNumId w:val="65"/>
  </w:num>
  <w:num w:numId="7" w16cid:durableId="1495797583">
    <w:abstractNumId w:val="29"/>
  </w:num>
  <w:num w:numId="8" w16cid:durableId="2081369680">
    <w:abstractNumId w:val="27"/>
  </w:num>
  <w:num w:numId="9" w16cid:durableId="425884821">
    <w:abstractNumId w:val="82"/>
  </w:num>
  <w:num w:numId="10" w16cid:durableId="238180750">
    <w:abstractNumId w:val="20"/>
  </w:num>
  <w:num w:numId="11" w16cid:durableId="1717199335">
    <w:abstractNumId w:val="89"/>
  </w:num>
  <w:num w:numId="12" w16cid:durableId="1550533323">
    <w:abstractNumId w:val="43"/>
  </w:num>
  <w:num w:numId="13" w16cid:durableId="197357866">
    <w:abstractNumId w:val="7"/>
  </w:num>
  <w:num w:numId="14" w16cid:durableId="1555694910">
    <w:abstractNumId w:val="88"/>
  </w:num>
  <w:num w:numId="15" w16cid:durableId="1119762139">
    <w:abstractNumId w:val="80"/>
  </w:num>
  <w:num w:numId="16" w16cid:durableId="1186602136">
    <w:abstractNumId w:val="13"/>
  </w:num>
  <w:num w:numId="17" w16cid:durableId="1687826740">
    <w:abstractNumId w:val="87"/>
  </w:num>
  <w:num w:numId="18" w16cid:durableId="1671911518">
    <w:abstractNumId w:val="32"/>
  </w:num>
  <w:num w:numId="19" w16cid:durableId="823551424">
    <w:abstractNumId w:val="68"/>
  </w:num>
  <w:num w:numId="20" w16cid:durableId="842474518">
    <w:abstractNumId w:val="14"/>
  </w:num>
  <w:num w:numId="21" w16cid:durableId="2103648075">
    <w:abstractNumId w:val="60"/>
  </w:num>
  <w:num w:numId="22" w16cid:durableId="49812855">
    <w:abstractNumId w:val="72"/>
  </w:num>
  <w:num w:numId="23" w16cid:durableId="1697921465">
    <w:abstractNumId w:val="53"/>
  </w:num>
  <w:num w:numId="24" w16cid:durableId="1782994519">
    <w:abstractNumId w:val="51"/>
  </w:num>
  <w:num w:numId="25" w16cid:durableId="1678770508">
    <w:abstractNumId w:val="49"/>
  </w:num>
  <w:num w:numId="26" w16cid:durableId="968366227">
    <w:abstractNumId w:val="21"/>
  </w:num>
  <w:num w:numId="27" w16cid:durableId="1569920816">
    <w:abstractNumId w:val="84"/>
  </w:num>
  <w:num w:numId="28" w16cid:durableId="1123427798">
    <w:abstractNumId w:val="77"/>
  </w:num>
  <w:num w:numId="29" w16cid:durableId="184756904">
    <w:abstractNumId w:val="41"/>
  </w:num>
  <w:num w:numId="30" w16cid:durableId="255795549">
    <w:abstractNumId w:val="1"/>
  </w:num>
  <w:num w:numId="31" w16cid:durableId="1240092814">
    <w:abstractNumId w:val="62"/>
  </w:num>
  <w:num w:numId="32" w16cid:durableId="223641225">
    <w:abstractNumId w:val="5"/>
  </w:num>
  <w:num w:numId="33" w16cid:durableId="1962110403">
    <w:abstractNumId w:val="40"/>
  </w:num>
  <w:num w:numId="34" w16cid:durableId="824855728">
    <w:abstractNumId w:val="63"/>
  </w:num>
  <w:num w:numId="35" w16cid:durableId="238448583">
    <w:abstractNumId w:val="22"/>
  </w:num>
  <w:num w:numId="36" w16cid:durableId="310330115">
    <w:abstractNumId w:val="70"/>
  </w:num>
  <w:num w:numId="37" w16cid:durableId="749274838">
    <w:abstractNumId w:val="45"/>
  </w:num>
  <w:num w:numId="38" w16cid:durableId="1783383648">
    <w:abstractNumId w:val="85"/>
  </w:num>
  <w:num w:numId="39" w16cid:durableId="668219773">
    <w:abstractNumId w:val="2"/>
  </w:num>
  <w:num w:numId="40" w16cid:durableId="1744985268">
    <w:abstractNumId w:val="12"/>
  </w:num>
  <w:num w:numId="41" w16cid:durableId="1876386868">
    <w:abstractNumId w:val="39"/>
  </w:num>
  <w:num w:numId="42" w16cid:durableId="1259287397">
    <w:abstractNumId w:val="15"/>
  </w:num>
  <w:num w:numId="43" w16cid:durableId="1895965212">
    <w:abstractNumId w:val="64"/>
  </w:num>
  <w:num w:numId="44" w16cid:durableId="1103644508">
    <w:abstractNumId w:val="8"/>
  </w:num>
  <w:num w:numId="45" w16cid:durableId="1890147635">
    <w:abstractNumId w:val="86"/>
  </w:num>
  <w:num w:numId="46" w16cid:durableId="520896451">
    <w:abstractNumId w:val="90"/>
  </w:num>
  <w:num w:numId="47" w16cid:durableId="1957521495">
    <w:abstractNumId w:val="54"/>
  </w:num>
  <w:num w:numId="48" w16cid:durableId="651522564">
    <w:abstractNumId w:val="79"/>
  </w:num>
  <w:num w:numId="49" w16cid:durableId="1136919128">
    <w:abstractNumId w:val="46"/>
  </w:num>
  <w:num w:numId="50" w16cid:durableId="856893666">
    <w:abstractNumId w:val="55"/>
  </w:num>
  <w:num w:numId="51" w16cid:durableId="1851675639">
    <w:abstractNumId w:val="73"/>
  </w:num>
  <w:num w:numId="52" w16cid:durableId="1919293087">
    <w:abstractNumId w:val="56"/>
  </w:num>
  <w:num w:numId="53" w16cid:durableId="1284993187">
    <w:abstractNumId w:val="83"/>
  </w:num>
  <w:num w:numId="54" w16cid:durableId="127743416">
    <w:abstractNumId w:val="75"/>
  </w:num>
  <w:num w:numId="55" w16cid:durableId="1916818253">
    <w:abstractNumId w:val="78"/>
  </w:num>
  <w:num w:numId="56" w16cid:durableId="1562860064">
    <w:abstractNumId w:val="48"/>
  </w:num>
  <w:num w:numId="57" w16cid:durableId="747187781">
    <w:abstractNumId w:val="66"/>
  </w:num>
  <w:num w:numId="58" w16cid:durableId="360473614">
    <w:abstractNumId w:val="36"/>
  </w:num>
  <w:num w:numId="59" w16cid:durableId="2074813228">
    <w:abstractNumId w:val="67"/>
  </w:num>
  <w:num w:numId="60" w16cid:durableId="612904506">
    <w:abstractNumId w:val="25"/>
  </w:num>
  <w:num w:numId="61" w16cid:durableId="941183654">
    <w:abstractNumId w:val="69"/>
  </w:num>
  <w:num w:numId="62" w16cid:durableId="916745150">
    <w:abstractNumId w:val="38"/>
  </w:num>
  <w:num w:numId="63" w16cid:durableId="1211113321">
    <w:abstractNumId w:val="47"/>
  </w:num>
  <w:num w:numId="64" w16cid:durableId="444888970">
    <w:abstractNumId w:val="57"/>
  </w:num>
  <w:num w:numId="65" w16cid:durableId="1860123175">
    <w:abstractNumId w:val="30"/>
  </w:num>
  <w:num w:numId="66" w16cid:durableId="31660070">
    <w:abstractNumId w:val="35"/>
  </w:num>
  <w:num w:numId="67" w16cid:durableId="1157381680">
    <w:abstractNumId w:val="81"/>
  </w:num>
  <w:num w:numId="68" w16cid:durableId="2024474500">
    <w:abstractNumId w:val="19"/>
  </w:num>
  <w:num w:numId="69" w16cid:durableId="158468993">
    <w:abstractNumId w:val="52"/>
  </w:num>
  <w:num w:numId="70" w16cid:durableId="51200545">
    <w:abstractNumId w:val="0"/>
  </w:num>
  <w:num w:numId="71" w16cid:durableId="821049104">
    <w:abstractNumId w:val="23"/>
  </w:num>
  <w:num w:numId="72" w16cid:durableId="1487672424">
    <w:abstractNumId w:val="31"/>
  </w:num>
  <w:num w:numId="73" w16cid:durableId="1602059276">
    <w:abstractNumId w:val="24"/>
  </w:num>
  <w:num w:numId="74" w16cid:durableId="47806563">
    <w:abstractNumId w:val="26"/>
  </w:num>
  <w:num w:numId="75" w16cid:durableId="305356633">
    <w:abstractNumId w:val="61"/>
  </w:num>
  <w:num w:numId="76" w16cid:durableId="678628084">
    <w:abstractNumId w:val="58"/>
  </w:num>
  <w:num w:numId="77" w16cid:durableId="1807039519">
    <w:abstractNumId w:val="33"/>
  </w:num>
  <w:num w:numId="78" w16cid:durableId="106318828">
    <w:abstractNumId w:val="59"/>
  </w:num>
  <w:num w:numId="79" w16cid:durableId="705638243">
    <w:abstractNumId w:val="4"/>
  </w:num>
  <w:num w:numId="80" w16cid:durableId="2039157739">
    <w:abstractNumId w:val="50"/>
  </w:num>
  <w:num w:numId="81" w16cid:durableId="953944888">
    <w:abstractNumId w:val="11"/>
  </w:num>
  <w:num w:numId="82" w16cid:durableId="1225094608">
    <w:abstractNumId w:val="9"/>
  </w:num>
  <w:num w:numId="83" w16cid:durableId="1307397494">
    <w:abstractNumId w:val="76"/>
  </w:num>
  <w:num w:numId="84" w16cid:durableId="1876383235">
    <w:abstractNumId w:val="37"/>
  </w:num>
  <w:num w:numId="85" w16cid:durableId="668756231">
    <w:abstractNumId w:val="6"/>
  </w:num>
  <w:num w:numId="86" w16cid:durableId="1986397773">
    <w:abstractNumId w:val="10"/>
  </w:num>
  <w:num w:numId="87" w16cid:durableId="747658887">
    <w:abstractNumId w:val="90"/>
  </w:num>
  <w:num w:numId="88" w16cid:durableId="515118705">
    <w:abstractNumId w:val="9"/>
  </w:num>
  <w:num w:numId="89" w16cid:durableId="1499881475">
    <w:abstractNumId w:val="18"/>
  </w:num>
  <w:num w:numId="90" w16cid:durableId="488519323">
    <w:abstractNumId w:val="3"/>
  </w:num>
  <w:num w:numId="91" w16cid:durableId="221140596">
    <w:abstractNumId w:val="55"/>
  </w:num>
  <w:num w:numId="92" w16cid:durableId="852888196">
    <w:abstractNumId w:val="17"/>
  </w:num>
  <w:num w:numId="93" w16cid:durableId="1364331782">
    <w:abstractNumId w:val="16"/>
  </w:num>
  <w:num w:numId="94" w16cid:durableId="802888199">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7A8E"/>
    <w:rsid w:val="001139FB"/>
    <w:rsid w:val="00113D8C"/>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C45C8"/>
    <w:rsid w:val="001D4903"/>
    <w:rsid w:val="001D6CBD"/>
    <w:rsid w:val="00220477"/>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05444"/>
    <w:rsid w:val="00310E21"/>
    <w:rsid w:val="00330820"/>
    <w:rsid w:val="00333E40"/>
    <w:rsid w:val="00357A9C"/>
    <w:rsid w:val="00390A90"/>
    <w:rsid w:val="003C28F2"/>
    <w:rsid w:val="003C3ADB"/>
    <w:rsid w:val="003D4D58"/>
    <w:rsid w:val="003D5D0C"/>
    <w:rsid w:val="003E3441"/>
    <w:rsid w:val="003E3505"/>
    <w:rsid w:val="00405118"/>
    <w:rsid w:val="00405BFA"/>
    <w:rsid w:val="004151D8"/>
    <w:rsid w:val="00443633"/>
    <w:rsid w:val="00451283"/>
    <w:rsid w:val="004604A7"/>
    <w:rsid w:val="0046695A"/>
    <w:rsid w:val="0047795D"/>
    <w:rsid w:val="004815F6"/>
    <w:rsid w:val="00491E66"/>
    <w:rsid w:val="00494236"/>
    <w:rsid w:val="004A2DE4"/>
    <w:rsid w:val="004B29FC"/>
    <w:rsid w:val="004C7BB5"/>
    <w:rsid w:val="004D0632"/>
    <w:rsid w:val="004D15B9"/>
    <w:rsid w:val="004D16A4"/>
    <w:rsid w:val="004E5660"/>
    <w:rsid w:val="004E6781"/>
    <w:rsid w:val="004F260C"/>
    <w:rsid w:val="004F700C"/>
    <w:rsid w:val="005000B1"/>
    <w:rsid w:val="00500ECF"/>
    <w:rsid w:val="005072F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90247E"/>
    <w:rsid w:val="00947D84"/>
    <w:rsid w:val="00952320"/>
    <w:rsid w:val="0096120A"/>
    <w:rsid w:val="00987833"/>
    <w:rsid w:val="009A0A17"/>
    <w:rsid w:val="009A5BED"/>
    <w:rsid w:val="009D03D3"/>
    <w:rsid w:val="009D4885"/>
    <w:rsid w:val="009E143A"/>
    <w:rsid w:val="009E754B"/>
    <w:rsid w:val="009F6229"/>
    <w:rsid w:val="009F7A64"/>
    <w:rsid w:val="00A106A5"/>
    <w:rsid w:val="00A34162"/>
    <w:rsid w:val="00A34E5F"/>
    <w:rsid w:val="00A6231C"/>
    <w:rsid w:val="00A62D3A"/>
    <w:rsid w:val="00A66668"/>
    <w:rsid w:val="00A73302"/>
    <w:rsid w:val="00A97B81"/>
    <w:rsid w:val="00AA24EE"/>
    <w:rsid w:val="00AC375B"/>
    <w:rsid w:val="00B17242"/>
    <w:rsid w:val="00B257B0"/>
    <w:rsid w:val="00B33654"/>
    <w:rsid w:val="00B36B2C"/>
    <w:rsid w:val="00B518A9"/>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E4FDF"/>
    <w:rsid w:val="00DF46A3"/>
    <w:rsid w:val="00E007ED"/>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91E88"/>
    <w:rsid w:val="00FC1952"/>
    <w:rsid w:val="00FE66FE"/>
    <w:rsid w:val="04053A3B"/>
    <w:rsid w:val="041B49F4"/>
    <w:rsid w:val="070630B2"/>
    <w:rsid w:val="07797E49"/>
    <w:rsid w:val="0787936F"/>
    <w:rsid w:val="0A0E6AF6"/>
    <w:rsid w:val="0C6F2D00"/>
    <w:rsid w:val="0CC2E2CD"/>
    <w:rsid w:val="0D2E94C7"/>
    <w:rsid w:val="117F3876"/>
    <w:rsid w:val="12C5C097"/>
    <w:rsid w:val="14CFF140"/>
    <w:rsid w:val="17691895"/>
    <w:rsid w:val="17ED40B9"/>
    <w:rsid w:val="19A44942"/>
    <w:rsid w:val="19FD5AC2"/>
    <w:rsid w:val="1A55AD35"/>
    <w:rsid w:val="1B58CBDC"/>
    <w:rsid w:val="1D1CEDAE"/>
    <w:rsid w:val="1D1DD67C"/>
    <w:rsid w:val="1D560272"/>
    <w:rsid w:val="1EAF6519"/>
    <w:rsid w:val="1FA2AE6B"/>
    <w:rsid w:val="234760BA"/>
    <w:rsid w:val="2611171F"/>
    <w:rsid w:val="27561913"/>
    <w:rsid w:val="2CCB5943"/>
    <w:rsid w:val="2EE3F5B9"/>
    <w:rsid w:val="2F879FC5"/>
    <w:rsid w:val="343DD6A3"/>
    <w:rsid w:val="38CF3F37"/>
    <w:rsid w:val="3A1ECAF1"/>
    <w:rsid w:val="3E5F726A"/>
    <w:rsid w:val="3EE6831C"/>
    <w:rsid w:val="4023C5C9"/>
    <w:rsid w:val="418BFB77"/>
    <w:rsid w:val="4392C87E"/>
    <w:rsid w:val="43ABFBF0"/>
    <w:rsid w:val="43B09591"/>
    <w:rsid w:val="450032BD"/>
    <w:rsid w:val="472991B2"/>
    <w:rsid w:val="4ADDFB5A"/>
    <w:rsid w:val="4B3DE04F"/>
    <w:rsid w:val="4E56653E"/>
    <w:rsid w:val="4F77A6D0"/>
    <w:rsid w:val="59B2321F"/>
    <w:rsid w:val="5A6FFB45"/>
    <w:rsid w:val="5EFDFD61"/>
    <w:rsid w:val="609D9432"/>
    <w:rsid w:val="6221CEF7"/>
    <w:rsid w:val="632E1B4C"/>
    <w:rsid w:val="63EB9CF4"/>
    <w:rsid w:val="652D0E0F"/>
    <w:rsid w:val="69936EFD"/>
    <w:rsid w:val="6A94D415"/>
    <w:rsid w:val="6E8EE7DA"/>
    <w:rsid w:val="709635FD"/>
    <w:rsid w:val="713FE6D8"/>
    <w:rsid w:val="73386584"/>
    <w:rsid w:val="791D0163"/>
    <w:rsid w:val="7BDA75F5"/>
    <w:rsid w:val="7C5811A0"/>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nance.senate.gov/chairmans-news/wyden-urges-cms-to-expand-the-addiction-medicine-workforce-for-patients-enrolled-in-medicaid-and-chip" TargetMode="External"/><Relationship Id="rId18" Type="http://schemas.openxmlformats.org/officeDocument/2006/relationships/hyperlink" Target="https://www.cms.gov/newsroom/press-releases/biden-harris-administration-takes-groundbreaking-action-expand-health-care-access-covering" TargetMode="External"/><Relationship Id="rId26" Type="http://schemas.openxmlformats.org/officeDocument/2006/relationships/hyperlink" Target="https://www.urban.org/sites/default/files/2024-10/Health%20Care%20Affordability%20in%20Employer%20versus%20Private%20Nongroup%20Coverage%20before%20ARPA.pdf" TargetMode="External"/><Relationship Id="rId3" Type="http://schemas.openxmlformats.org/officeDocument/2006/relationships/styles" Target="styles.xml"/><Relationship Id="rId21" Type="http://schemas.openxmlformats.org/officeDocument/2006/relationships/hyperlink" Target="https://www.medicaid.gov/medicaid/section-1115-demonstrations/downloads/nm-turquoise-care-dmnstrtn-aprvl-10162024.pdf" TargetMode="External"/><Relationship Id="rId7" Type="http://schemas.openxmlformats.org/officeDocument/2006/relationships/endnotes" Target="endnotes.xml"/><Relationship Id="rId12" Type="http://schemas.openxmlformats.org/officeDocument/2006/relationships/hyperlink" Target="https://www.finance.senate.gov/imo/media/doc/letter_to_cms_on_addiction_specialists.pdf" TargetMode="External"/><Relationship Id="rId17" Type="http://schemas.openxmlformats.org/officeDocument/2006/relationships/hyperlink" Target="https://millermeeks.house.gov/sites/evo-subsites/millermeeks.house.gov/files/evo-media-document/Doc%20Letter.pdf" TargetMode="External"/><Relationship Id="rId25" Type="http://schemas.openxmlformats.org/officeDocument/2006/relationships/hyperlink" Target="https://www.kff.org/compare-2024-candidates-health-care-policy/" TargetMode="External"/><Relationship Id="rId2" Type="http://schemas.openxmlformats.org/officeDocument/2006/relationships/numbering" Target="numbering.xml"/><Relationship Id="rId16" Type="http://schemas.openxmlformats.org/officeDocument/2006/relationships/hyperlink" Target="https://millermeeks.house.gov/media/press-releases/miller-meeks-leads-232-house-members-address-doc-cuts-2025" TargetMode="External"/><Relationship Id="rId20" Type="http://schemas.openxmlformats.org/officeDocument/2006/relationships/hyperlink" Target="https://www.medicaid.gov/medicaid/section-1115-demonstrations/downloads/ca-calaim-dmnstrn-appvl-10162024.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newsroom/press-releases/cms-update-actions-prevent-unauthorized-agent-and-broker-marketplace-activity" TargetMode="External"/><Relationship Id="rId24" Type="http://schemas.openxmlformats.org/officeDocument/2006/relationships/hyperlink" Target="https://www.kff.org/mental-health/issue-brief/teens-drugs-and-overdose-contrasting-pre-pandemic-and-current-trend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lumenthal.senate.gov/newsroom/press/release/senate-permanent-subcommittee-on-investigations-releases-majority-staff-report-exposing-medicare-advantage-insurers-refusal-of-care-for-vulnerable-seniors/" TargetMode="External"/><Relationship Id="rId23" Type="http://schemas.openxmlformats.org/officeDocument/2006/relationships/hyperlink" Target="https://insidehealthpolicy.com/sites/insidehealthpolicy.com/files/documents/2024/oct/he2024_2721.pdf" TargetMode="External"/><Relationship Id="rId28" Type="http://schemas.openxmlformats.org/officeDocument/2006/relationships/hyperlink" Target="https://www.caregivernationsummit.org/" TargetMode="External"/><Relationship Id="rId10" Type="http://schemas.openxmlformats.org/officeDocument/2006/relationships/hyperlink" Target="https://thehill.com/homenews/education/4941687-harris-trump-campaign-education-platform-student-loans-trans-rights-school-choice/" TargetMode="External"/><Relationship Id="rId19" Type="http://schemas.openxmlformats.org/officeDocument/2006/relationships/hyperlink" Target="https://www.medicaid.gov/medicaid/section-1115-demonstrations/downloads/az-hccc-dmnstrn-apprvl-10162024.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hq2s7RMRsgs" TargetMode="External"/><Relationship Id="rId14" Type="http://schemas.openxmlformats.org/officeDocument/2006/relationships/hyperlink" Target="https://www.congress.gov/bill/118th-congress/house-bill/4366" TargetMode="External"/><Relationship Id="rId22" Type="http://schemas.openxmlformats.org/officeDocument/2006/relationships/hyperlink" Target="https://www.medicaid.gov/medicaid/section-1115-demonstrations/downloads/or-health-plan-dmnstrtn-aprvl-10162024.pdf" TargetMode="External"/><Relationship Id="rId27" Type="http://schemas.openxmlformats.org/officeDocument/2006/relationships/hyperlink" Target="https://www.healthit.gov/news/events/ask-us-about-information-sharing-new-dat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3</cp:revision>
  <dcterms:created xsi:type="dcterms:W3CDTF">2024-10-22T22:07:00Z</dcterms:created>
  <dcterms:modified xsi:type="dcterms:W3CDTF">2024-10-22T22:07:00Z</dcterms:modified>
</cp:coreProperties>
</file>