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4CB77" w14:textId="77777777" w:rsidR="00113E3B" w:rsidRDefault="00715EA6" w:rsidP="00113E3B">
      <w:pPr>
        <w:spacing w:before="240"/>
        <w:rPr>
          <w:rFonts w:ascii="Poppins SemiBold" w:hAnsi="Poppins SemiBold" w:cs="Poppins SemiBold"/>
          <w:noProof/>
          <w:sz w:val="32"/>
          <w:szCs w:val="32"/>
        </w:rPr>
      </w:pPr>
      <w:r w:rsidRPr="00DA1ED7">
        <w:rPr>
          <w:rFonts w:ascii="Poppins SemiBold" w:hAnsi="Poppins SemiBold" w:cs="Poppins SemiBold"/>
          <w:noProof/>
          <w:sz w:val="32"/>
          <w:szCs w:val="32"/>
        </w:rPr>
        <w:drawing>
          <wp:anchor distT="0" distB="0" distL="114300" distR="114300" simplePos="0" relativeHeight="251659264" behindDoc="0" locked="0" layoutInCell="1" allowOverlap="1" wp14:anchorId="6388BE28" wp14:editId="0FF3E604">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7B84623B" w:rsidRPr="7B84623B">
        <w:rPr>
          <w:rFonts w:ascii="Poppins SemiBold" w:hAnsi="Poppins SemiBold"/>
          <w:b/>
          <w:bCs/>
          <w:color w:val="4472C4" w:themeColor="accent1"/>
          <w:sz w:val="32"/>
          <w:szCs w:val="32"/>
        </w:rPr>
        <w:t xml:space="preserve">March </w:t>
      </w:r>
      <w:r w:rsidR="008558FF">
        <w:rPr>
          <w:rFonts w:ascii="Poppins SemiBold" w:hAnsi="Poppins SemiBold"/>
          <w:b/>
          <w:bCs/>
          <w:color w:val="4472C4" w:themeColor="accent1"/>
          <w:sz w:val="32"/>
          <w:szCs w:val="32"/>
        </w:rPr>
        <w:t>31</w:t>
      </w:r>
      <w:r w:rsidR="7B84623B" w:rsidRPr="7B84623B">
        <w:rPr>
          <w:rFonts w:ascii="Poppins SemiBold" w:hAnsi="Poppins SemiBold"/>
          <w:b/>
          <w:bCs/>
          <w:color w:val="4472C4" w:themeColor="accent1"/>
          <w:sz w:val="32"/>
          <w:szCs w:val="32"/>
        </w:rPr>
        <w:t>, 2025</w:t>
      </w:r>
    </w:p>
    <w:p w14:paraId="6B810149" w14:textId="207F956D" w:rsidR="006715C7" w:rsidRPr="006715C7" w:rsidRDefault="006715C7" w:rsidP="006715C7">
      <w:pPr>
        <w:rPr>
          <w:b/>
          <w:bCs/>
        </w:rPr>
      </w:pPr>
      <w:r>
        <w:rPr>
          <w:rFonts w:ascii="Poppins SemiBold" w:hAnsi="Poppins SemiBold"/>
          <w:b/>
          <w:bCs/>
          <w:color w:val="4472C4" w:themeColor="accent1"/>
          <w:sz w:val="24"/>
          <w:szCs w:val="24"/>
        </w:rPr>
        <w:t xml:space="preserve">Secretary Kennedy Orders HHS Reorganization and Cuts </w:t>
      </w:r>
    </w:p>
    <w:p w14:paraId="4CAE1F0E" w14:textId="599440C7" w:rsidR="006715C7" w:rsidRPr="006715C7" w:rsidRDefault="006715C7" w:rsidP="006715C7">
      <w:pPr>
        <w:pStyle w:val="ListBullet"/>
        <w:numPr>
          <w:ilvl w:val="0"/>
          <w:numId w:val="0"/>
        </w:numPr>
        <w:rPr>
          <w:rFonts w:ascii="Poppins" w:hAnsi="Poppins" w:cs="Poppins"/>
          <w:sz w:val="20"/>
          <w:szCs w:val="20"/>
        </w:rPr>
      </w:pPr>
      <w:r w:rsidRPr="006715C7">
        <w:rPr>
          <w:rFonts w:ascii="Poppins" w:eastAsia="Calibri" w:hAnsi="Poppins" w:cs="Poppins"/>
          <w:color w:val="000000" w:themeColor="text1"/>
          <w:sz w:val="20"/>
          <w:szCs w:val="20"/>
        </w:rPr>
        <w:t xml:space="preserve">The Department of Health and Human Services (HHS), under Secretary Robert F. Kennedy Jr., announced a significant </w:t>
      </w:r>
      <w:hyperlink r:id="rId8">
        <w:r w:rsidRPr="006715C7">
          <w:rPr>
            <w:rStyle w:val="Hyperlink"/>
            <w:rFonts w:ascii="Poppins" w:eastAsia="Calibri" w:hAnsi="Poppins" w:cs="Poppins"/>
            <w:sz w:val="20"/>
            <w:szCs w:val="20"/>
          </w:rPr>
          <w:t>restructuring plan</w:t>
        </w:r>
      </w:hyperlink>
      <w:r w:rsidRPr="006715C7">
        <w:rPr>
          <w:rFonts w:ascii="Poppins" w:eastAsia="Calibri" w:hAnsi="Poppins" w:cs="Poppins"/>
          <w:color w:val="000000" w:themeColor="text1"/>
          <w:sz w:val="20"/>
          <w:szCs w:val="20"/>
        </w:rPr>
        <w:t xml:space="preserve"> aimed at reducing the federal workforce and cutting costs. This plan involves eliminating 10,000 jobs across HHS divisions, with a goal of saving $1.8 billion. Combined with other Trump administration initiatives, the overall workforce reduction is expected to be around 20,000, shrinking HHS from 82,000 to 62,000 employees. The department will also be streamlined from 28 to 15 divisions, with several agencies consolidated into a new entity, the Administration for a Healthy America (AHA), reflecting Kennedy's focus on chronic disease. The restructuring also includes substantial layoffs at key agencies like the FDA, CDC, and NIH. These cuts are part of a broader Trump administration effort, supported by figures like Elon Musk and the Department of Government Efficiency (DOGE), to reduce federal employment and streamline operations, which has already involved </w:t>
      </w:r>
      <w:hyperlink r:id="rId9">
        <w:r w:rsidRPr="006715C7">
          <w:rPr>
            <w:rStyle w:val="Hyperlink"/>
            <w:rFonts w:ascii="Poppins" w:eastAsia="Calibri" w:hAnsi="Poppins" w:cs="Poppins"/>
            <w:sz w:val="20"/>
            <w:szCs w:val="20"/>
          </w:rPr>
          <w:t>probationary worker layoffs</w:t>
        </w:r>
      </w:hyperlink>
      <w:r w:rsidRPr="006715C7">
        <w:rPr>
          <w:rFonts w:ascii="Poppins" w:eastAsia="Calibri" w:hAnsi="Poppins" w:cs="Poppins"/>
          <w:color w:val="000000" w:themeColor="text1"/>
          <w:sz w:val="20"/>
          <w:szCs w:val="20"/>
        </w:rPr>
        <w:t xml:space="preserve">, </w:t>
      </w:r>
      <w:hyperlink r:id="rId10" w:anchor=":~:text=Description,an%20incentive%20to%20voluntarily%20separate.">
        <w:r w:rsidRPr="006715C7">
          <w:rPr>
            <w:rStyle w:val="Hyperlink"/>
            <w:rFonts w:ascii="Poppins" w:eastAsia="Calibri" w:hAnsi="Poppins" w:cs="Poppins"/>
            <w:sz w:val="20"/>
            <w:szCs w:val="20"/>
          </w:rPr>
          <w:t>buyout offers</w:t>
        </w:r>
      </w:hyperlink>
      <w:r w:rsidRPr="006715C7">
        <w:rPr>
          <w:rFonts w:ascii="Poppins" w:eastAsia="Calibri" w:hAnsi="Poppins" w:cs="Poppins"/>
          <w:color w:val="000000" w:themeColor="text1"/>
          <w:sz w:val="20"/>
          <w:szCs w:val="20"/>
        </w:rPr>
        <w:t xml:space="preserve">, and </w:t>
      </w:r>
      <w:hyperlink r:id="rId11">
        <w:r w:rsidRPr="006715C7">
          <w:rPr>
            <w:rStyle w:val="Hyperlink"/>
            <w:rFonts w:ascii="Poppins" w:eastAsia="Calibri" w:hAnsi="Poppins" w:cs="Poppins"/>
            <w:sz w:val="20"/>
            <w:szCs w:val="20"/>
          </w:rPr>
          <w:t>stricter return-to-office policies</w:t>
        </w:r>
      </w:hyperlink>
      <w:r w:rsidRPr="006715C7">
        <w:rPr>
          <w:rFonts w:ascii="Poppins" w:eastAsia="Calibri" w:hAnsi="Poppins" w:cs="Poppins"/>
          <w:color w:val="000000" w:themeColor="text1"/>
          <w:sz w:val="20"/>
          <w:szCs w:val="20"/>
        </w:rPr>
        <w:t>.</w:t>
      </w:r>
    </w:p>
    <w:p w14:paraId="609E5537" w14:textId="54549A3E" w:rsidR="00113E3B" w:rsidRPr="00113E3B" w:rsidRDefault="00113E3B" w:rsidP="00113E3B">
      <w:pPr>
        <w:spacing w:before="240"/>
        <w:rPr>
          <w:rFonts w:ascii="Poppins SemiBold" w:hAnsi="Poppins SemiBold" w:cs="Poppins SemiBold"/>
          <w:noProof/>
          <w:sz w:val="32"/>
          <w:szCs w:val="32"/>
        </w:rPr>
      </w:pPr>
      <w:r>
        <w:rPr>
          <w:rFonts w:ascii="Poppins SemiBold" w:hAnsi="Poppins SemiBold"/>
          <w:b/>
          <w:bCs/>
          <w:color w:val="4472C4" w:themeColor="accent1"/>
          <w:sz w:val="24"/>
          <w:szCs w:val="24"/>
        </w:rPr>
        <w:t xml:space="preserve">KFF Health News Reports on Medicaid Barriers That Limit Work for People with Disabilities </w:t>
      </w:r>
    </w:p>
    <w:p w14:paraId="6D99CDE5" w14:textId="13644D56" w:rsidR="00113E3B" w:rsidRPr="00113E3B" w:rsidRDefault="00113E3B" w:rsidP="7B84623B">
      <w:pPr>
        <w:spacing w:before="120" w:after="120"/>
        <w:rPr>
          <w:rFonts w:ascii="Poppins" w:hAnsi="Poppins" w:cs="Poppins"/>
          <w:sz w:val="20"/>
          <w:szCs w:val="20"/>
        </w:rPr>
      </w:pPr>
      <w:r w:rsidRPr="00113E3B">
        <w:rPr>
          <w:rFonts w:ascii="Poppins" w:hAnsi="Poppins" w:cs="Poppins"/>
          <w:sz w:val="20"/>
          <w:szCs w:val="20"/>
        </w:rPr>
        <w:t xml:space="preserve">KFF Health News </w:t>
      </w:r>
      <w:hyperlink r:id="rId12" w:history="1">
        <w:r w:rsidRPr="00113E3B">
          <w:rPr>
            <w:rStyle w:val="Hyperlink"/>
            <w:rFonts w:ascii="Poppins" w:hAnsi="Poppins" w:cs="Poppins"/>
            <w:sz w:val="20"/>
            <w:szCs w:val="20"/>
          </w:rPr>
          <w:t>wrote</w:t>
        </w:r>
      </w:hyperlink>
      <w:r w:rsidRPr="00113E3B">
        <w:rPr>
          <w:rFonts w:ascii="Poppins" w:hAnsi="Poppins" w:cs="Poppins"/>
          <w:sz w:val="20"/>
          <w:szCs w:val="20"/>
        </w:rPr>
        <w:t xml:space="preserve"> an article on Zach Mecham, a 31-year-old with muscular dystrophy who relies on Medicaid to cover home health services that allow him to live independently and run his online marketing business. The article highlights how income and asset caps in Iowa’s Medicaid buy-in program force people with disabilities to limit their earnings to retain essential care. A proposed Iowa bill, modeled after a Tennessee law, seeks to remove these caps and instead require participants to pay a percentage of their income as premiums. Advocates argue that current restrictions create a “poverty trap,” discouraging full-time employment and financial independence. Similar efforts are underway in other states, as policymakers consider reforms to help people with disabilities work without jeopardizing their healthcare coverage.</w:t>
      </w:r>
    </w:p>
    <w:p w14:paraId="73069108" w14:textId="7C142AFD" w:rsidR="006715C7" w:rsidRDefault="006715C7" w:rsidP="7B84623B">
      <w:pPr>
        <w:spacing w:before="120" w:after="120"/>
        <w:rPr>
          <w:rFonts w:ascii="Poppins SemiBold" w:hAnsi="Poppins SemiBold"/>
          <w:b/>
          <w:bCs/>
          <w:color w:val="4472C4" w:themeColor="accent1"/>
          <w:sz w:val="24"/>
          <w:szCs w:val="24"/>
        </w:rPr>
      </w:pPr>
      <w:r>
        <w:rPr>
          <w:rFonts w:ascii="Poppins SemiBold" w:hAnsi="Poppins SemiBold"/>
          <w:b/>
          <w:bCs/>
          <w:color w:val="4472C4" w:themeColor="accent1"/>
          <w:sz w:val="24"/>
          <w:szCs w:val="24"/>
        </w:rPr>
        <w:lastRenderedPageBreak/>
        <w:t xml:space="preserve">HealthAffairs Highlights the Need for Improved State-Level Disability Data to Advance Health Equity </w:t>
      </w:r>
    </w:p>
    <w:p w14:paraId="2E0C7E57" w14:textId="54E50398" w:rsidR="006715C7" w:rsidRPr="001C400E" w:rsidRDefault="001C400E" w:rsidP="7B84623B">
      <w:pPr>
        <w:spacing w:before="120" w:after="120"/>
        <w:rPr>
          <w:rFonts w:ascii="Poppins" w:hAnsi="Poppins" w:cs="Poppins"/>
          <w:sz w:val="20"/>
          <w:szCs w:val="20"/>
        </w:rPr>
      </w:pPr>
      <w:r>
        <w:rPr>
          <w:rFonts w:ascii="Poppins" w:hAnsi="Poppins" w:cs="Poppins"/>
          <w:sz w:val="20"/>
          <w:szCs w:val="20"/>
        </w:rPr>
        <w:t xml:space="preserve">HealthAffairs </w:t>
      </w:r>
      <w:hyperlink r:id="rId13" w:history="1">
        <w:r w:rsidRPr="001C400E">
          <w:rPr>
            <w:rStyle w:val="Hyperlink"/>
            <w:rFonts w:ascii="Poppins" w:hAnsi="Poppins" w:cs="Poppins"/>
            <w:sz w:val="20"/>
            <w:szCs w:val="20"/>
          </w:rPr>
          <w:t>published</w:t>
        </w:r>
      </w:hyperlink>
      <w:r>
        <w:rPr>
          <w:rFonts w:ascii="Poppins" w:hAnsi="Poppins" w:cs="Poppins"/>
          <w:sz w:val="20"/>
          <w:szCs w:val="20"/>
        </w:rPr>
        <w:t xml:space="preserve"> a health policy brief on the need for improved state-level disability data. Specifically, authors</w:t>
      </w:r>
      <w:r w:rsidRPr="001C400E">
        <w:rPr>
          <w:rFonts w:ascii="Poppins" w:hAnsi="Poppins" w:cs="Poppins"/>
          <w:sz w:val="20"/>
          <w:szCs w:val="20"/>
        </w:rPr>
        <w:t xml:space="preserve"> report that state-level disability data collection remains inadequate, limiting policymakers’ ability to address health disparities among people with disabilities. Despite federal initiatives like the Affordable Care Act’s Section 4302, disability remains inconsistently included in state data systems. The lack of standardized data collection contributes to inequities in healthcare, employment, housing, and social services. Experts recommend adopting uniform disability measures, leveraging diverse data sources—including qualitative and participatory methods—and ensuring the disability community is involved in decision-making. Some states, like Maryland and Oregon, have taken steps to improve data collection, demonstrating how state governments can play a critical role in advancing disability health equity.</w:t>
      </w:r>
    </w:p>
    <w:p w14:paraId="54A60381" w14:textId="31F73059" w:rsidR="00715EA6" w:rsidRPr="00715EA6" w:rsidRDefault="006715C7" w:rsidP="7B84623B">
      <w:pPr>
        <w:spacing w:before="120" w:after="120"/>
      </w:pPr>
      <w:r>
        <w:rPr>
          <w:rFonts w:ascii="Poppins SemiBold" w:hAnsi="Poppins SemiBold"/>
          <w:b/>
          <w:bCs/>
          <w:color w:val="4472C4" w:themeColor="accent1"/>
          <w:sz w:val="24"/>
          <w:szCs w:val="24"/>
        </w:rPr>
        <w:t xml:space="preserve">Study Shows </w:t>
      </w:r>
      <w:r w:rsidR="7B84623B" w:rsidRPr="7B84623B">
        <w:rPr>
          <w:rFonts w:ascii="Poppins SemiBold" w:hAnsi="Poppins SemiBold"/>
          <w:b/>
          <w:bCs/>
          <w:color w:val="4472C4" w:themeColor="accent1"/>
          <w:sz w:val="24"/>
          <w:szCs w:val="24"/>
        </w:rPr>
        <w:t>Medicaid Support for Assisted Living Grows but Eviction Risks Remain</w:t>
      </w:r>
    </w:p>
    <w:p w14:paraId="18CDA386" w14:textId="77777777" w:rsidR="00715EA6" w:rsidRPr="00113E3B" w:rsidRDefault="7B84623B" w:rsidP="7B84623B">
      <w:pPr>
        <w:spacing w:after="240"/>
        <w:rPr>
          <w:sz w:val="20"/>
          <w:szCs w:val="20"/>
        </w:rPr>
      </w:pPr>
      <w:r w:rsidRPr="00113E3B">
        <w:rPr>
          <w:rFonts w:ascii="Poppins" w:hAnsi="Poppins"/>
          <w:sz w:val="20"/>
          <w:szCs w:val="20"/>
        </w:rPr>
        <w:t xml:space="preserve">A Kaiser Family Foundation (KFF)-funded </w:t>
      </w:r>
      <w:hyperlink r:id="rId14">
        <w:r w:rsidRPr="00113E3B">
          <w:rPr>
            <w:rFonts w:ascii="Poppins" w:hAnsi="Poppins"/>
            <w:color w:val="2F5496" w:themeColor="accent1" w:themeShade="BF"/>
            <w:sz w:val="20"/>
            <w:szCs w:val="20"/>
            <w:u w:val="single"/>
          </w:rPr>
          <w:t>stu</w:t>
        </w:r>
        <w:r w:rsidRPr="00113E3B">
          <w:rPr>
            <w:rFonts w:ascii="Poppins" w:hAnsi="Poppins"/>
            <w:color w:val="2F5496" w:themeColor="accent1" w:themeShade="BF"/>
            <w:sz w:val="20"/>
            <w:szCs w:val="20"/>
            <w:u w:val="single"/>
          </w:rPr>
          <w:t>d</w:t>
        </w:r>
        <w:r w:rsidRPr="00113E3B">
          <w:rPr>
            <w:rFonts w:ascii="Poppins" w:hAnsi="Poppins"/>
            <w:color w:val="2F5496" w:themeColor="accent1" w:themeShade="BF"/>
            <w:sz w:val="20"/>
            <w:szCs w:val="20"/>
            <w:u w:val="single"/>
          </w:rPr>
          <w:t>y</w:t>
        </w:r>
      </w:hyperlink>
      <w:r w:rsidRPr="00113E3B">
        <w:rPr>
          <w:rFonts w:ascii="Poppins" w:hAnsi="Poppins"/>
          <w:sz w:val="20"/>
          <w:szCs w:val="20"/>
        </w:rPr>
        <w:t xml:space="preserve"> examined Medicaid coverage for home and community-based services (HCBS) in assisted living facilities, highlighting its impact on seniors and people with disabilities. Among the 47 responding states, 41 offer some level of Medicaid coverage, primarily through 1915(c) waivers, which help individuals receive personal care (covered in 34 states) and round-the-clock assistance (available in 29 states) to support daily living activities. However, Medicaid does not cover room and board, and low reimbursement rates often discourage facilities from accepting enrollees, creating financial instability for low-income seniors and individuals with disabilities who may face eviction after exhausting their savings. Although 47 states provide financial assistance—such as capping facility charges or funding meal preparation—protections remain inconsistent, with only 25 states offering additional eviction safeguards, such as requiring facilities to transition residents rather than evict them. Despite the increasing reliance on Medicaid for long-term care, only 10 states require assisted living facilities to accept new Medicaid residents, with New Jersey and Oklahoma being the only states mandating universal acceptance. These findings underscore critical disparities in access to assisted living, leaving many seniors and people with disabilities vulnerable to housing instability. Future Medicaid policy changes could significantly impact this population, either expanding protections or exacerbating existing challenges in long-term care accessibility.</w:t>
      </w:r>
    </w:p>
    <w:p w14:paraId="60FB4EFB" w14:textId="3265393D" w:rsidR="00715EA6" w:rsidRPr="00715EA6" w:rsidRDefault="006715C7" w:rsidP="7B84623B">
      <w:pPr>
        <w:spacing w:before="120" w:after="120"/>
      </w:pPr>
      <w:r>
        <w:rPr>
          <w:rFonts w:ascii="Poppins SemiBold" w:hAnsi="Poppins SemiBold"/>
          <w:b/>
          <w:bCs/>
          <w:color w:val="4472C4" w:themeColor="accent1"/>
          <w:sz w:val="24"/>
          <w:szCs w:val="24"/>
        </w:rPr>
        <w:t xml:space="preserve">Study Shows </w:t>
      </w:r>
      <w:r w:rsidR="7B84623B" w:rsidRPr="7B84623B">
        <w:rPr>
          <w:rFonts w:ascii="Poppins SemiBold" w:hAnsi="Poppins SemiBold"/>
          <w:b/>
          <w:bCs/>
          <w:color w:val="4472C4" w:themeColor="accent1"/>
          <w:sz w:val="24"/>
          <w:szCs w:val="24"/>
        </w:rPr>
        <w:t>Medicaid Funding and State Policies Drive Costs, Access, and Sustainability</w:t>
      </w:r>
    </w:p>
    <w:p w14:paraId="57ABCFB4" w14:textId="722F1992" w:rsidR="00715EA6" w:rsidRPr="00113E3B" w:rsidRDefault="7B84623B" w:rsidP="7B84623B">
      <w:pPr>
        <w:spacing w:after="240"/>
        <w:rPr>
          <w:sz w:val="20"/>
          <w:szCs w:val="20"/>
        </w:rPr>
      </w:pPr>
      <w:r w:rsidRPr="00113E3B">
        <w:rPr>
          <w:rFonts w:ascii="Poppins" w:hAnsi="Poppins"/>
          <w:sz w:val="20"/>
          <w:szCs w:val="20"/>
        </w:rPr>
        <w:lastRenderedPageBreak/>
        <w:t xml:space="preserve">A Commonwealth </w:t>
      </w:r>
      <w:hyperlink r:id="rId15">
        <w:r w:rsidRPr="00113E3B">
          <w:rPr>
            <w:rFonts w:ascii="Poppins" w:hAnsi="Poppins"/>
            <w:color w:val="2F5496" w:themeColor="accent1" w:themeShade="BF"/>
            <w:sz w:val="20"/>
            <w:szCs w:val="20"/>
            <w:u w:val="single"/>
          </w:rPr>
          <w:t>study</w:t>
        </w:r>
      </w:hyperlink>
      <w:r w:rsidRPr="00113E3B">
        <w:rPr>
          <w:rFonts w:ascii="Poppins" w:hAnsi="Poppins"/>
          <w:sz w:val="20"/>
          <w:szCs w:val="20"/>
        </w:rPr>
        <w:t xml:space="preserve"> examined Medicaid’s funding structure, revealing how state and federal policies shape its administration and costs. In 2023, Medicaid spending reached $890 billion, with the federal government covering 69% and states contributing 31%. The Federal Medical Assistance Percentage (FMAP) determines the federal share, ranging from 50% to 77% based on state income levels, with enhanced rates for specific populations, such as 90% for Medicaid expansion enrollees under the Affordable Care Act. States finance their portion primarily through general tax revenues, but many also rely on provider taxes, cigarette taxes, and settlement funds. Unlike other programs, Medicaid funding is open-ended, increasing with rising costs, except in U.S. territories, where federal funding is capped. Medicaid spending is countercyclical, growing during economic downturns when more people need coverage. To control costs, states may reduce optional benefits or cut provider reimbursement rates, which already tend to be lower than Medicare and commercial insurance payments, impacting provider participation. In 2019, Medicaid fee-for-service physician payments were 72% of Medicare rates, while commercial hospital rates often exceeded 200% of Medicare rates. However, supplemental payments like disproportionate share hospital payments help support providers treating Medicaid patients. Administrative costs for Medicaid remain relatively low at 4% of spending in 2023, compared to 1.35% for traditional Medicare FFS and 10.9%-14.8% for Medicare Advantage plans. As Medicaid evolves, state and federal policy decisions will continue shaping its reach and sustainability.</w:t>
      </w:r>
    </w:p>
    <w:p w14:paraId="74C305A7" w14:textId="77777777" w:rsidR="00D016B5" w:rsidRDefault="00CC201D">
      <w:pPr>
        <w:spacing w:before="120" w:after="120"/>
      </w:pPr>
      <w:r>
        <w:rPr>
          <w:rFonts w:ascii="Poppins SemiBold" w:hAnsi="Poppins SemiBold"/>
          <w:b/>
          <w:color w:val="4472C4"/>
          <w:sz w:val="24"/>
        </w:rPr>
        <w:t>NIH Discontinues Funding for Diabetes Prevention Program</w:t>
      </w:r>
    </w:p>
    <w:p w14:paraId="55D3EDC1" w14:textId="77777777" w:rsidR="00D016B5" w:rsidRPr="00113E3B" w:rsidRDefault="00CC201D">
      <w:pPr>
        <w:spacing w:after="240"/>
        <w:rPr>
          <w:sz w:val="20"/>
          <w:szCs w:val="20"/>
        </w:rPr>
      </w:pPr>
      <w:r w:rsidRPr="00113E3B">
        <w:rPr>
          <w:rFonts w:ascii="Poppins" w:hAnsi="Poppins"/>
          <w:sz w:val="20"/>
          <w:szCs w:val="20"/>
        </w:rPr>
        <w:t xml:space="preserve">The National Institutes of Health (NIH) has </w:t>
      </w:r>
      <w:hyperlink r:id="rId16">
        <w:r w:rsidR="00D016B5" w:rsidRPr="00113E3B">
          <w:rPr>
            <w:rFonts w:ascii="Poppins" w:hAnsi="Poppins"/>
            <w:color w:val="2F5496"/>
            <w:sz w:val="20"/>
            <w:szCs w:val="20"/>
            <w:u w:val="single"/>
          </w:rPr>
          <w:t>canceled</w:t>
        </w:r>
      </w:hyperlink>
      <w:r w:rsidRPr="00113E3B">
        <w:rPr>
          <w:rFonts w:ascii="Poppins" w:hAnsi="Poppins"/>
          <w:sz w:val="20"/>
          <w:szCs w:val="20"/>
        </w:rPr>
        <w:t xml:space="preserve"> $400 million in funding originally planned for Columbia University, including $250 million allocated to the </w:t>
      </w:r>
      <w:hyperlink r:id="rId17">
        <w:r w:rsidR="00D016B5" w:rsidRPr="00113E3B">
          <w:rPr>
            <w:rFonts w:ascii="Poppins" w:hAnsi="Poppins"/>
            <w:color w:val="2F5496"/>
            <w:sz w:val="20"/>
            <w:szCs w:val="20"/>
            <w:u w:val="single"/>
          </w:rPr>
          <w:t>Diabetes Prevention Program (DPP)</w:t>
        </w:r>
      </w:hyperlink>
      <w:r w:rsidRPr="00113E3B">
        <w:rPr>
          <w:rFonts w:ascii="Poppins" w:hAnsi="Poppins"/>
          <w:sz w:val="20"/>
          <w:szCs w:val="20"/>
        </w:rPr>
        <w:t>, a long-standing initiative studying diabetes prevention over the past 30 years. The DPP demonstrated that intensive lifestyle interventions reduced the risk of type 2 diabetes by 58%, with an even more significant reduction of 71% among individuals aged 60 and older. Metformin, which is used to treat high blood sugar levels, contributed to a 31% risk reduction. The long-term Diabetes Prevention Program Outcomes Study (DPPOS) further confirmed these sustained benefits, showing that lifestyle intervention delayed diabetes onset by four years, while metformin delayed it by two years. The funding cut is widely believed to be politically motivated, following criticism that Columbia University failed to adequately address antisemitism during pro-Palestinian campus protests related to the war in Gaza. This decision threatens ongoing research into diabetes progression, prevention strategies, and other public health efforts.</w:t>
      </w:r>
    </w:p>
    <w:p w14:paraId="6338A12E" w14:textId="77777777" w:rsidR="00D016B5" w:rsidRDefault="00CC201D">
      <w:pPr>
        <w:spacing w:before="120" w:after="120"/>
      </w:pPr>
      <w:r>
        <w:rPr>
          <w:rFonts w:ascii="Poppins SemiBold" w:hAnsi="Poppins SemiBold"/>
          <w:b/>
          <w:color w:val="4472C4"/>
          <w:sz w:val="24"/>
        </w:rPr>
        <w:t>Secretary Kennedy Renews Public Health Emergency for the Opioid Epidemic</w:t>
      </w:r>
    </w:p>
    <w:p w14:paraId="0827A3EB" w14:textId="502EB1BC" w:rsidR="00D016B5" w:rsidRPr="00113E3B" w:rsidRDefault="2675DF95">
      <w:pPr>
        <w:spacing w:after="240"/>
        <w:rPr>
          <w:sz w:val="20"/>
          <w:szCs w:val="20"/>
        </w:rPr>
      </w:pPr>
      <w:r w:rsidRPr="00113E3B">
        <w:rPr>
          <w:rFonts w:ascii="Poppins" w:hAnsi="Poppins"/>
          <w:sz w:val="20"/>
          <w:szCs w:val="20"/>
        </w:rPr>
        <w:t xml:space="preserve">HHS Secretary Robert F. Kennedy Jr. </w:t>
      </w:r>
      <w:hyperlink r:id="rId18">
        <w:r w:rsidRPr="00113E3B">
          <w:rPr>
            <w:rFonts w:ascii="Poppins" w:hAnsi="Poppins"/>
            <w:color w:val="2F5496" w:themeColor="accent1" w:themeShade="BF"/>
            <w:sz w:val="20"/>
            <w:szCs w:val="20"/>
            <w:u w:val="single"/>
          </w:rPr>
          <w:t>renewed</w:t>
        </w:r>
      </w:hyperlink>
      <w:r w:rsidRPr="00113E3B">
        <w:rPr>
          <w:rFonts w:ascii="Poppins" w:hAnsi="Poppins"/>
          <w:sz w:val="20"/>
          <w:szCs w:val="20"/>
        </w:rPr>
        <w:t xml:space="preserve"> the Public Health Emergency (PHE) declaration for the opioid crisis, extending the emergency status that was first declared in 2017. With the original declaration set to expire on March 21, 2025, this extension grants federal health </w:t>
      </w:r>
      <w:r w:rsidRPr="00113E3B">
        <w:rPr>
          <w:rFonts w:ascii="Poppins" w:hAnsi="Poppins"/>
          <w:sz w:val="20"/>
          <w:szCs w:val="20"/>
        </w:rPr>
        <w:lastRenderedPageBreak/>
        <w:t xml:space="preserve">agencies the necessary authority, resources, and regulatory flexibility to sustain and expand vital public health interventions. Despite promising data from the Centers for Disease Control and Prevention (CDC) </w:t>
      </w:r>
      <w:hyperlink r:id="rId19">
        <w:r w:rsidRPr="00113E3B">
          <w:rPr>
            <w:rFonts w:ascii="Poppins" w:hAnsi="Poppins"/>
            <w:color w:val="2F5496" w:themeColor="accent1" w:themeShade="BF"/>
            <w:sz w:val="20"/>
            <w:szCs w:val="20"/>
            <w:u w:val="single"/>
          </w:rPr>
          <w:t>showing</w:t>
        </w:r>
      </w:hyperlink>
      <w:r w:rsidRPr="00113E3B">
        <w:rPr>
          <w:rFonts w:ascii="Poppins" w:hAnsi="Poppins"/>
          <w:sz w:val="20"/>
          <w:szCs w:val="20"/>
        </w:rPr>
        <w:t xml:space="preserve"> a 25.5% decline in overdose deaths over the past year, the crisis remains severe, with an average of 150 Americans dying each day due to opioid-involved overdoses. The administration’s decision to extend the emergency by another 90 days reflects a strategic effort to treat the opioid epidemic as both a public health and national security threat, ensuring that comprehensive prevention, treatment, and recovery programs remain at the forefront of the federal response. The renewal aligns with the broader national initiative to "Make America Healthy Again" by reinforcing the fight against substance use disorders and the drug trade fueling the epidemic.</w:t>
      </w:r>
    </w:p>
    <w:p w14:paraId="6BCB6F3C" w14:textId="0D5FF5E1" w:rsidR="00EF6563" w:rsidRDefault="00EF6563" w:rsidP="00EF6563">
      <w:pPr>
        <w:rPr>
          <w:rFonts w:ascii="Poppins SemiBold" w:hAnsi="Poppins SemiBold"/>
          <w:b/>
          <w:color w:val="4472C4"/>
          <w:sz w:val="24"/>
        </w:rPr>
      </w:pPr>
      <w:r w:rsidRPr="00EF6563">
        <w:rPr>
          <w:rFonts w:ascii="Poppins SemiBold" w:hAnsi="Poppins SemiBold"/>
          <w:b/>
          <w:color w:val="4472C4"/>
          <w:sz w:val="24"/>
        </w:rPr>
        <w:t>Bipartisan Momentum Builds to Preserve Modified Affordable Care Act Premium Tax Credits</w:t>
      </w:r>
    </w:p>
    <w:p w14:paraId="043FB24F" w14:textId="52BC4AC5" w:rsidR="00EF6563" w:rsidRPr="00113E3B" w:rsidRDefault="00EF6563" w:rsidP="00EF6563">
      <w:pPr>
        <w:rPr>
          <w:rFonts w:ascii="Poppins" w:eastAsiaTheme="minorEastAsia" w:hAnsi="Poppins" w:cs="Poppins"/>
          <w:color w:val="000000" w:themeColor="text1"/>
          <w:sz w:val="20"/>
          <w:szCs w:val="20"/>
        </w:rPr>
      </w:pPr>
      <w:r w:rsidRPr="00113E3B">
        <w:rPr>
          <w:rFonts w:ascii="Poppins" w:eastAsiaTheme="minorEastAsia" w:hAnsi="Poppins" w:cs="Poppins"/>
          <w:color w:val="000000" w:themeColor="text1"/>
          <w:sz w:val="20"/>
          <w:szCs w:val="20"/>
        </w:rPr>
        <w:t xml:space="preserve">Former Indiana Rep. Larry Bucshon, who spoke exclusively to </w:t>
      </w:r>
      <w:r w:rsidRPr="00113E3B">
        <w:rPr>
          <w:rFonts w:ascii="Poppins" w:eastAsiaTheme="minorEastAsia" w:hAnsi="Poppins" w:cs="Poppins"/>
          <w:i/>
          <w:iCs/>
          <w:color w:val="000000" w:themeColor="text1"/>
          <w:sz w:val="20"/>
          <w:szCs w:val="20"/>
        </w:rPr>
        <w:t>Inside Health Policy</w:t>
      </w:r>
      <w:r w:rsidRPr="00113E3B">
        <w:rPr>
          <w:rFonts w:ascii="Poppins" w:eastAsiaTheme="minorEastAsia" w:hAnsi="Poppins" w:cs="Poppins"/>
          <w:color w:val="000000" w:themeColor="text1"/>
          <w:sz w:val="20"/>
          <w:szCs w:val="20"/>
        </w:rPr>
        <w:t xml:space="preserve"> on this issue, is among a growing number of Republicans </w:t>
      </w:r>
      <w:hyperlink r:id="rId20">
        <w:r w:rsidRPr="00113E3B">
          <w:rPr>
            <w:rStyle w:val="Hyperlink"/>
            <w:rFonts w:ascii="Poppins" w:eastAsiaTheme="minorEastAsia" w:hAnsi="Poppins" w:cs="Poppins"/>
            <w:color w:val="1155CC"/>
            <w:sz w:val="20"/>
            <w:szCs w:val="20"/>
          </w:rPr>
          <w:t>acknowledging</w:t>
        </w:r>
      </w:hyperlink>
      <w:r w:rsidRPr="00113E3B">
        <w:rPr>
          <w:rFonts w:ascii="Poppins" w:eastAsiaTheme="minorEastAsia" w:hAnsi="Poppins" w:cs="Poppins"/>
          <w:color w:val="000000" w:themeColor="text1"/>
          <w:sz w:val="20"/>
          <w:szCs w:val="20"/>
        </w:rPr>
        <w:t xml:space="preserve"> that Congress is likely to extend a revised version of the enhanced Affordable Care Act (ACA) premium tax credits (APTCs), which are set to expire at the end of the year. Although the GOP has historically opposed the credit expansions—first introduced under the </w:t>
      </w:r>
      <w:hyperlink r:id="rId21">
        <w:r w:rsidRPr="00113E3B">
          <w:rPr>
            <w:rStyle w:val="Hyperlink"/>
            <w:rFonts w:ascii="Poppins" w:eastAsiaTheme="minorEastAsia" w:hAnsi="Poppins" w:cs="Poppins"/>
            <w:sz w:val="20"/>
            <w:szCs w:val="20"/>
          </w:rPr>
          <w:t>American Rescue Plan Act</w:t>
        </w:r>
      </w:hyperlink>
      <w:r w:rsidRPr="00113E3B">
        <w:rPr>
          <w:rFonts w:ascii="Poppins" w:eastAsiaTheme="minorEastAsia" w:hAnsi="Poppins" w:cs="Poppins"/>
          <w:color w:val="000000" w:themeColor="text1"/>
          <w:sz w:val="20"/>
          <w:szCs w:val="20"/>
        </w:rPr>
        <w:t xml:space="preserve"> and extended through 2025 via the </w:t>
      </w:r>
      <w:hyperlink r:id="rId22">
        <w:r w:rsidRPr="00113E3B">
          <w:rPr>
            <w:rStyle w:val="Hyperlink"/>
            <w:rFonts w:ascii="Poppins" w:eastAsiaTheme="minorEastAsia" w:hAnsi="Poppins" w:cs="Poppins"/>
            <w:sz w:val="20"/>
            <w:szCs w:val="20"/>
          </w:rPr>
          <w:t>Inflation Reduction Act</w:t>
        </w:r>
      </w:hyperlink>
      <w:r w:rsidRPr="00113E3B">
        <w:rPr>
          <w:rFonts w:ascii="Poppins" w:eastAsiaTheme="minorEastAsia" w:hAnsi="Poppins" w:cs="Poppins"/>
          <w:color w:val="000000" w:themeColor="text1"/>
          <w:sz w:val="20"/>
          <w:szCs w:val="20"/>
        </w:rPr>
        <w:t>—Bucshon and others note that allowing them to lapse could politically damage Republicans, as millions of constituents, including those in red states and the gig economy, have benefited from the policy. While conservative think tanks criticize the credits as costly and open to abuse, several centrist Republicans, including Sen. Lisa Murkowski (R-AK) and members of the House, have signaled support for maintaining the subsidies in some form, warning that ending them could lead to a political backlash reminiscent of the GOP’s 2018 midterm losses.</w:t>
      </w:r>
    </w:p>
    <w:p w14:paraId="2020A32D" w14:textId="098CEA11" w:rsidR="00D016B5" w:rsidRDefault="7B84623B" w:rsidP="7B84623B">
      <w:pPr>
        <w:spacing w:after="240"/>
      </w:pPr>
      <w:r w:rsidRPr="7B84623B">
        <w:rPr>
          <w:rFonts w:ascii="Poppins SemiBold" w:hAnsi="Poppins SemiBold"/>
          <w:b/>
          <w:bCs/>
          <w:color w:val="4472C4" w:themeColor="accent1"/>
          <w:sz w:val="32"/>
          <w:szCs w:val="32"/>
        </w:rPr>
        <w:t>What's on Tap</w:t>
      </w:r>
    </w:p>
    <w:p w14:paraId="7C672D4F" w14:textId="77777777" w:rsidR="008372ED" w:rsidRDefault="008372ED" w:rsidP="008372ED">
      <w:pPr>
        <w:spacing w:after="0" w:line="276" w:lineRule="auto"/>
        <w:rPr>
          <w:rFonts w:ascii="Poppins" w:eastAsia="Calibri" w:hAnsi="Poppins" w:cs="Poppins"/>
          <w:sz w:val="20"/>
          <w:szCs w:val="20"/>
        </w:rPr>
      </w:pPr>
      <w:r w:rsidRPr="008372ED">
        <w:rPr>
          <w:rFonts w:ascii="Poppins" w:eastAsia="Calibri" w:hAnsi="Poppins" w:cs="Poppins"/>
          <w:sz w:val="20"/>
          <w:szCs w:val="20"/>
        </w:rPr>
        <w:t xml:space="preserve">Over the weekend, it was revealed that Senate Republicans will </w:t>
      </w:r>
      <w:hyperlink r:id="rId23" w:history="1">
        <w:r w:rsidRPr="008372ED">
          <w:rPr>
            <w:rStyle w:val="Hyperlink"/>
            <w:rFonts w:ascii="Poppins" w:eastAsia="Calibri" w:hAnsi="Poppins" w:cs="Poppins"/>
            <w:sz w:val="20"/>
            <w:szCs w:val="20"/>
          </w:rPr>
          <w:t>move as soon as Thursday</w:t>
        </w:r>
      </w:hyperlink>
      <w:r w:rsidRPr="008372ED">
        <w:rPr>
          <w:rFonts w:ascii="Poppins" w:eastAsia="Calibri" w:hAnsi="Poppins" w:cs="Poppins"/>
          <w:sz w:val="20"/>
          <w:szCs w:val="20"/>
        </w:rPr>
        <w:t xml:space="preserve"> to begin advancing the chamber’s budget plan. Reporting indicates that Senate Majority Leader John Thune (R-SD) is aiming to adopt a budget resolution before the end of the week, which would likely necessitate a marathon vote-a-</w:t>
      </w:r>
      <w:proofErr w:type="spellStart"/>
      <w:r w:rsidRPr="008372ED">
        <w:rPr>
          <w:rFonts w:ascii="Poppins" w:eastAsia="Calibri" w:hAnsi="Poppins" w:cs="Poppins"/>
          <w:sz w:val="20"/>
          <w:szCs w:val="20"/>
        </w:rPr>
        <w:t>rama</w:t>
      </w:r>
      <w:proofErr w:type="spellEnd"/>
      <w:r w:rsidRPr="008372ED">
        <w:rPr>
          <w:rFonts w:ascii="Poppins" w:eastAsia="Calibri" w:hAnsi="Poppins" w:cs="Poppins"/>
          <w:sz w:val="20"/>
          <w:szCs w:val="20"/>
        </w:rPr>
        <w:t xml:space="preserve"> on Thursday. The potential vote later this week represents a significant step in the budget reconciliation process, a vehicle that the GOP intends to utilize to advance President Trump’s agenda. Senate Republicans are currently awaiting a ruling from the Senate parliamentarian on whether they can use the current policy baseline in the reconciliation process, which would effectively make the President’s 2017 tax cuts permanent without adding to the deficit. Regardless of the </w:t>
      </w:r>
      <w:r w:rsidRPr="008372ED">
        <w:rPr>
          <w:rFonts w:ascii="Poppins" w:eastAsia="Calibri" w:hAnsi="Poppins" w:cs="Poppins"/>
          <w:sz w:val="20"/>
          <w:szCs w:val="20"/>
        </w:rPr>
        <w:lastRenderedPageBreak/>
        <w:t xml:space="preserve">parliamentarian’s ruling, Republican leaders in each chamber will have to persuade several GOP fiscal hawks to support the measure </w:t>
      </w:r>
      <w:proofErr w:type="gramStart"/>
      <w:r w:rsidRPr="008372ED">
        <w:rPr>
          <w:rFonts w:ascii="Poppins" w:eastAsia="Calibri" w:hAnsi="Poppins" w:cs="Poppins"/>
          <w:sz w:val="20"/>
          <w:szCs w:val="20"/>
        </w:rPr>
        <w:t>in order to</w:t>
      </w:r>
      <w:proofErr w:type="gramEnd"/>
      <w:r w:rsidRPr="008372ED">
        <w:rPr>
          <w:rFonts w:ascii="Poppins" w:eastAsia="Calibri" w:hAnsi="Poppins" w:cs="Poppins"/>
          <w:sz w:val="20"/>
          <w:szCs w:val="20"/>
        </w:rPr>
        <w:t xml:space="preserve"> advance the compromise budget. </w:t>
      </w:r>
    </w:p>
    <w:p w14:paraId="0931B5B8" w14:textId="1A6A55B8" w:rsidR="00D016B5" w:rsidRPr="008372ED" w:rsidRDefault="00CC201D" w:rsidP="008372ED">
      <w:pPr>
        <w:spacing w:after="0" w:line="276" w:lineRule="auto"/>
        <w:rPr>
          <w:rFonts w:ascii="Poppins" w:eastAsia="Calibri" w:hAnsi="Poppins" w:cs="Poppins"/>
          <w:sz w:val="20"/>
          <w:szCs w:val="20"/>
        </w:rPr>
      </w:pPr>
      <w:r>
        <w:br/>
      </w:r>
      <w:r w:rsidR="7B84623B" w:rsidRPr="7B84623B">
        <w:rPr>
          <w:rFonts w:ascii="Poppins SemiBold" w:hAnsi="Poppins SemiBold"/>
          <w:b/>
          <w:bCs/>
          <w:color w:val="4472C4" w:themeColor="accent1"/>
          <w:sz w:val="32"/>
          <w:szCs w:val="32"/>
        </w:rPr>
        <w:t>Upcoming Events</w:t>
      </w:r>
    </w:p>
    <w:p w14:paraId="4935BA4B" w14:textId="77777777" w:rsidR="008372ED" w:rsidRPr="00FF2A26" w:rsidRDefault="008372ED" w:rsidP="008372ED">
      <w:pPr>
        <w:numPr>
          <w:ilvl w:val="0"/>
          <w:numId w:val="3"/>
        </w:numPr>
        <w:spacing w:after="200" w:line="276" w:lineRule="auto"/>
        <w:rPr>
          <w:rFonts w:ascii="Poppins" w:hAnsi="Poppins" w:cs="Poppins"/>
          <w:sz w:val="20"/>
          <w:szCs w:val="20"/>
        </w:rPr>
      </w:pPr>
      <w:r w:rsidRPr="00FF2A26">
        <w:rPr>
          <w:rFonts w:ascii="Poppins" w:hAnsi="Poppins" w:cs="Poppins"/>
          <w:sz w:val="20"/>
          <w:szCs w:val="20"/>
        </w:rPr>
        <w:t xml:space="preserve">On Tuesday, the House Energy &amp; Commerce Committee will hold a </w:t>
      </w:r>
      <w:hyperlink r:id="rId24" w:history="1">
        <w:r w:rsidRPr="00FF2A26">
          <w:rPr>
            <w:rStyle w:val="Hyperlink"/>
            <w:rFonts w:ascii="Poppins" w:hAnsi="Poppins" w:cs="Poppins"/>
            <w:sz w:val="20"/>
            <w:szCs w:val="20"/>
          </w:rPr>
          <w:t>hearing</w:t>
        </w:r>
      </w:hyperlink>
      <w:r w:rsidRPr="00FF2A26">
        <w:rPr>
          <w:rFonts w:ascii="Poppins" w:hAnsi="Poppins" w:cs="Poppins"/>
          <w:sz w:val="20"/>
          <w:szCs w:val="20"/>
        </w:rPr>
        <w:t xml:space="preserve"> on "Examining the FDA's Regulation of Over-the-Counter Monograph Drugs" at 10:15 AM.</w:t>
      </w:r>
    </w:p>
    <w:p w14:paraId="2D38A44B" w14:textId="77777777" w:rsidR="008372ED" w:rsidRPr="00FF2A26" w:rsidRDefault="008372ED" w:rsidP="008372ED">
      <w:pPr>
        <w:numPr>
          <w:ilvl w:val="0"/>
          <w:numId w:val="3"/>
        </w:numPr>
        <w:spacing w:after="200" w:line="276" w:lineRule="auto"/>
        <w:rPr>
          <w:rFonts w:ascii="Poppins" w:hAnsi="Poppins" w:cs="Poppins"/>
          <w:sz w:val="20"/>
          <w:szCs w:val="20"/>
        </w:rPr>
      </w:pPr>
      <w:r w:rsidRPr="00FF2A26">
        <w:rPr>
          <w:rFonts w:ascii="Poppins" w:hAnsi="Poppins" w:cs="Poppins"/>
          <w:sz w:val="20"/>
          <w:szCs w:val="20"/>
        </w:rPr>
        <w:t xml:space="preserve">On Tuesday, the House Veterans' Affairs Committee will hold a </w:t>
      </w:r>
      <w:hyperlink r:id="rId25" w:history="1">
        <w:r w:rsidRPr="00FF2A26">
          <w:rPr>
            <w:rStyle w:val="Hyperlink"/>
            <w:rFonts w:ascii="Poppins" w:hAnsi="Poppins" w:cs="Poppins"/>
            <w:sz w:val="20"/>
            <w:szCs w:val="20"/>
          </w:rPr>
          <w:t>hearing</w:t>
        </w:r>
      </w:hyperlink>
      <w:r w:rsidRPr="00FF2A26">
        <w:rPr>
          <w:rFonts w:ascii="Poppins" w:hAnsi="Poppins" w:cs="Poppins"/>
          <w:sz w:val="20"/>
          <w:szCs w:val="20"/>
        </w:rPr>
        <w:t xml:space="preserve"> on "Harnessing Biomedical Innovation: Modernizing VA Healthcare for the Future" at 10:15 AM.</w:t>
      </w:r>
    </w:p>
    <w:p w14:paraId="71038AF0" w14:textId="77777777" w:rsidR="008372ED" w:rsidRPr="00FF2A26" w:rsidRDefault="008372ED" w:rsidP="008372ED">
      <w:pPr>
        <w:numPr>
          <w:ilvl w:val="0"/>
          <w:numId w:val="3"/>
        </w:numPr>
        <w:spacing w:after="200" w:line="276" w:lineRule="auto"/>
        <w:rPr>
          <w:rFonts w:ascii="Poppins" w:hAnsi="Poppins" w:cs="Poppins"/>
          <w:sz w:val="20"/>
          <w:szCs w:val="20"/>
        </w:rPr>
      </w:pPr>
      <w:r w:rsidRPr="00FF2A26">
        <w:rPr>
          <w:rFonts w:ascii="Poppins" w:hAnsi="Poppins" w:cs="Poppins"/>
          <w:sz w:val="20"/>
          <w:szCs w:val="20"/>
        </w:rPr>
        <w:t xml:space="preserve">On Wednesday, POLITICO will </w:t>
      </w:r>
      <w:hyperlink r:id="rId26" w:history="1">
        <w:r w:rsidRPr="00FF2A26">
          <w:rPr>
            <w:rStyle w:val="Hyperlink"/>
            <w:rFonts w:ascii="Poppins" w:hAnsi="Poppins" w:cs="Poppins"/>
            <w:sz w:val="20"/>
            <w:szCs w:val="20"/>
          </w:rPr>
          <w:t>host</w:t>
        </w:r>
      </w:hyperlink>
      <w:r w:rsidRPr="00FF2A26">
        <w:rPr>
          <w:rFonts w:ascii="Poppins" w:hAnsi="Poppins" w:cs="Poppins"/>
          <w:sz w:val="20"/>
          <w:szCs w:val="20"/>
        </w:rPr>
        <w:t xml:space="preserve"> the 2025 Health Care Summit</w:t>
      </w:r>
      <w:r w:rsidRPr="008372ED">
        <w:rPr>
          <w:rFonts w:ascii="Poppins" w:hAnsi="Poppins" w:cs="Poppins"/>
          <w:sz w:val="20"/>
          <w:szCs w:val="20"/>
        </w:rPr>
        <w:t xml:space="preserve"> </w:t>
      </w:r>
      <w:r w:rsidRPr="00FF2A26">
        <w:rPr>
          <w:rFonts w:ascii="Poppins" w:hAnsi="Poppins" w:cs="Poppins"/>
          <w:sz w:val="20"/>
          <w:szCs w:val="20"/>
        </w:rPr>
        <w:t>at 8:00 AM.</w:t>
      </w:r>
    </w:p>
    <w:p w14:paraId="2FF61425" w14:textId="77777777" w:rsidR="008372ED" w:rsidRPr="00FF2A26" w:rsidRDefault="008372ED" w:rsidP="008372ED">
      <w:pPr>
        <w:numPr>
          <w:ilvl w:val="0"/>
          <w:numId w:val="3"/>
        </w:numPr>
        <w:spacing w:after="200" w:line="276" w:lineRule="auto"/>
        <w:rPr>
          <w:rFonts w:ascii="Poppins" w:hAnsi="Poppins" w:cs="Poppins"/>
          <w:sz w:val="20"/>
          <w:szCs w:val="20"/>
        </w:rPr>
      </w:pPr>
      <w:r w:rsidRPr="00FF2A26">
        <w:rPr>
          <w:rFonts w:ascii="Poppins" w:hAnsi="Poppins" w:cs="Poppins"/>
          <w:sz w:val="20"/>
          <w:szCs w:val="20"/>
        </w:rPr>
        <w:t xml:space="preserve">On Wednesday, the House Education and the Workforce Health, Employment, Labor, and Pensions Subcommittee will hold a </w:t>
      </w:r>
      <w:hyperlink r:id="rId27" w:history="1">
        <w:r w:rsidRPr="00FF2A26">
          <w:rPr>
            <w:rStyle w:val="Hyperlink"/>
            <w:rFonts w:ascii="Poppins" w:hAnsi="Poppins" w:cs="Poppins"/>
            <w:sz w:val="20"/>
            <w:szCs w:val="20"/>
          </w:rPr>
          <w:t>hearing</w:t>
        </w:r>
      </w:hyperlink>
      <w:r w:rsidRPr="00FF2A26">
        <w:rPr>
          <w:rFonts w:ascii="Poppins" w:hAnsi="Poppins" w:cs="Poppins"/>
          <w:sz w:val="20"/>
          <w:szCs w:val="20"/>
        </w:rPr>
        <w:t xml:space="preserve"> on "A Healthy Workforce: Expanding Access and Affordability on Employer-Sponsored Health Care" at 2:00 PM.</w:t>
      </w:r>
    </w:p>
    <w:p w14:paraId="0E6FAC22" w14:textId="77777777" w:rsidR="008372ED" w:rsidRPr="00FF2A26" w:rsidRDefault="008372ED" w:rsidP="008372ED">
      <w:pPr>
        <w:numPr>
          <w:ilvl w:val="0"/>
          <w:numId w:val="3"/>
        </w:numPr>
        <w:spacing w:after="200" w:line="276" w:lineRule="auto"/>
        <w:rPr>
          <w:rFonts w:ascii="Poppins" w:hAnsi="Poppins" w:cs="Poppins"/>
          <w:sz w:val="20"/>
          <w:szCs w:val="20"/>
        </w:rPr>
      </w:pPr>
      <w:r w:rsidRPr="00FF2A26">
        <w:rPr>
          <w:rFonts w:ascii="Poppins" w:hAnsi="Poppins" w:cs="Poppins"/>
          <w:sz w:val="20"/>
          <w:szCs w:val="20"/>
        </w:rPr>
        <w:t xml:space="preserve">On Wednesday, the House Veterans’ Affairs Committee will </w:t>
      </w:r>
      <w:hyperlink r:id="rId28" w:history="1">
        <w:r w:rsidRPr="00FF2A26">
          <w:rPr>
            <w:rStyle w:val="Hyperlink"/>
            <w:rFonts w:ascii="Poppins" w:hAnsi="Poppins" w:cs="Poppins"/>
            <w:sz w:val="20"/>
            <w:szCs w:val="20"/>
          </w:rPr>
          <w:t>hold</w:t>
        </w:r>
      </w:hyperlink>
      <w:r w:rsidRPr="00FF2A26">
        <w:rPr>
          <w:rFonts w:ascii="Poppins" w:hAnsi="Poppins" w:cs="Poppins"/>
          <w:sz w:val="20"/>
          <w:szCs w:val="20"/>
        </w:rPr>
        <w:t xml:space="preserve"> a hearing on “Answering the Call: Examining VA’s Mental Health Policies” at 2:00 PM.</w:t>
      </w:r>
    </w:p>
    <w:p w14:paraId="6D2B3BE9" w14:textId="77777777" w:rsidR="008372ED" w:rsidRPr="008372ED" w:rsidRDefault="008372ED" w:rsidP="008372ED">
      <w:pPr>
        <w:rPr>
          <w:rFonts w:ascii="Poppins" w:hAnsi="Poppins" w:cs="Poppins"/>
          <w:sz w:val="20"/>
          <w:szCs w:val="20"/>
        </w:rPr>
      </w:pPr>
    </w:p>
    <w:p w14:paraId="04D76D9E" w14:textId="026A540A" w:rsidR="7B84623B" w:rsidRPr="008372ED" w:rsidRDefault="7B84623B" w:rsidP="7B84623B">
      <w:pPr>
        <w:spacing w:before="240" w:after="240"/>
        <w:rPr>
          <w:rFonts w:ascii="Poppins" w:hAnsi="Poppins" w:cs="Poppins"/>
          <w:b/>
          <w:bCs/>
          <w:color w:val="4472C4" w:themeColor="accent1"/>
          <w:sz w:val="28"/>
          <w:szCs w:val="28"/>
        </w:rPr>
      </w:pPr>
    </w:p>
    <w:sectPr w:rsidR="7B84623B" w:rsidRPr="008372ED">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BED78" w14:textId="77777777" w:rsidR="00BF17BA" w:rsidRDefault="00BF17BA" w:rsidP="00715EA6">
      <w:pPr>
        <w:spacing w:after="0" w:line="240" w:lineRule="auto"/>
      </w:pPr>
      <w:r>
        <w:separator/>
      </w:r>
    </w:p>
  </w:endnote>
  <w:endnote w:type="continuationSeparator" w:id="0">
    <w:p w14:paraId="07A3EB17" w14:textId="77777777" w:rsidR="00BF17BA" w:rsidRDefault="00BF17BA" w:rsidP="00715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65A3" w14:textId="5A4EB9C7" w:rsidR="00715EA6" w:rsidRDefault="00715EA6">
    <w:pPr>
      <w:pStyle w:val="Footer"/>
    </w:pPr>
    <w:r>
      <w:rPr>
        <w:noProof/>
      </w:rPr>
      <mc:AlternateContent>
        <mc:Choice Requires="wps">
          <w:drawing>
            <wp:anchor distT="0" distB="0" distL="114300" distR="114300" simplePos="0" relativeHeight="251659264" behindDoc="0" locked="0" layoutInCell="1" allowOverlap="1" wp14:anchorId="1939F78A" wp14:editId="3934B82D">
              <wp:simplePos x="0" y="0"/>
              <wp:positionH relativeFrom="column">
                <wp:posOffset>-901700</wp:posOffset>
              </wp:positionH>
              <wp:positionV relativeFrom="paragraph">
                <wp:posOffset>215900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9F78A" id="Rectangle 2" o:spid="_x0000_s1026" style="position:absolute;margin-left:-71pt;margin-top:17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" fillcolor="#0e6eb6" stroked="f" strokeweight="1pt">
              <v:fill opacity="39321f"/>
              <v:textbo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D8702" w14:textId="77777777" w:rsidR="00BF17BA" w:rsidRDefault="00BF17BA" w:rsidP="00715EA6">
      <w:pPr>
        <w:spacing w:after="0" w:line="240" w:lineRule="auto"/>
      </w:pPr>
      <w:r>
        <w:separator/>
      </w:r>
    </w:p>
  </w:footnote>
  <w:footnote w:type="continuationSeparator" w:id="0">
    <w:p w14:paraId="54907FD1" w14:textId="77777777" w:rsidR="00BF17BA" w:rsidRDefault="00BF17BA" w:rsidP="00715E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40A9A1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EE43845"/>
    <w:multiLevelType w:val="multilevel"/>
    <w:tmpl w:val="BBF07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B20422"/>
    <w:multiLevelType w:val="hybridMultilevel"/>
    <w:tmpl w:val="64220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0285155">
    <w:abstractNumId w:val="0"/>
  </w:num>
  <w:num w:numId="2" w16cid:durableId="638345425">
    <w:abstractNumId w:val="2"/>
  </w:num>
  <w:num w:numId="3" w16cid:durableId="1839224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4D"/>
    <w:rsid w:val="00113E3B"/>
    <w:rsid w:val="00140A74"/>
    <w:rsid w:val="001C400E"/>
    <w:rsid w:val="00236A3B"/>
    <w:rsid w:val="004F23F4"/>
    <w:rsid w:val="005278B9"/>
    <w:rsid w:val="0053438E"/>
    <w:rsid w:val="006715C7"/>
    <w:rsid w:val="006E7A32"/>
    <w:rsid w:val="00715EA6"/>
    <w:rsid w:val="008372ED"/>
    <w:rsid w:val="008558FF"/>
    <w:rsid w:val="008B3F9C"/>
    <w:rsid w:val="00A7138F"/>
    <w:rsid w:val="00A76DD2"/>
    <w:rsid w:val="00B92207"/>
    <w:rsid w:val="00BF17BA"/>
    <w:rsid w:val="00CC201D"/>
    <w:rsid w:val="00CF006A"/>
    <w:rsid w:val="00CF3379"/>
    <w:rsid w:val="00D016B5"/>
    <w:rsid w:val="00E30E4D"/>
    <w:rsid w:val="00EF6563"/>
    <w:rsid w:val="2565C836"/>
    <w:rsid w:val="2675DF95"/>
    <w:rsid w:val="3DD66EBC"/>
    <w:rsid w:val="7B846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4110"/>
  <w15:chartTrackingRefBased/>
  <w15:docId w15:val="{1F607E6A-DDF2-4ED2-9637-49CB825C3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563"/>
  </w:style>
  <w:style w:type="paragraph" w:styleId="Heading1">
    <w:name w:val="heading 1"/>
    <w:basedOn w:val="Normal"/>
    <w:next w:val="Normal"/>
    <w:link w:val="Heading1Char"/>
    <w:uiPriority w:val="9"/>
    <w:qFormat/>
    <w:rsid w:val="00E30E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0E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0E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E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E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E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E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E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E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E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0E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E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E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E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E4D"/>
    <w:rPr>
      <w:rFonts w:eastAsiaTheme="majorEastAsia" w:cstheme="majorBidi"/>
      <w:color w:val="272727" w:themeColor="text1" w:themeTint="D8"/>
    </w:rPr>
  </w:style>
  <w:style w:type="paragraph" w:styleId="Title">
    <w:name w:val="Title"/>
    <w:basedOn w:val="Normal"/>
    <w:next w:val="Normal"/>
    <w:link w:val="TitleChar"/>
    <w:uiPriority w:val="10"/>
    <w:qFormat/>
    <w:rsid w:val="00E30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E4D"/>
    <w:pPr>
      <w:spacing w:before="160"/>
      <w:jc w:val="center"/>
    </w:pPr>
    <w:rPr>
      <w:i/>
      <w:iCs/>
      <w:color w:val="404040" w:themeColor="text1" w:themeTint="BF"/>
    </w:rPr>
  </w:style>
  <w:style w:type="character" w:customStyle="1" w:styleId="QuoteChar">
    <w:name w:val="Quote Char"/>
    <w:basedOn w:val="DefaultParagraphFont"/>
    <w:link w:val="Quote"/>
    <w:uiPriority w:val="29"/>
    <w:rsid w:val="00E30E4D"/>
    <w:rPr>
      <w:i/>
      <w:iCs/>
      <w:color w:val="404040" w:themeColor="text1" w:themeTint="BF"/>
    </w:rPr>
  </w:style>
  <w:style w:type="paragraph" w:styleId="ListParagraph">
    <w:name w:val="List Paragraph"/>
    <w:basedOn w:val="Normal"/>
    <w:uiPriority w:val="34"/>
    <w:qFormat/>
    <w:rsid w:val="00E30E4D"/>
    <w:pPr>
      <w:ind w:left="720"/>
      <w:contextualSpacing/>
    </w:pPr>
  </w:style>
  <w:style w:type="character" w:styleId="IntenseEmphasis">
    <w:name w:val="Intense Emphasis"/>
    <w:basedOn w:val="DefaultParagraphFont"/>
    <w:uiPriority w:val="21"/>
    <w:qFormat/>
    <w:rsid w:val="00E30E4D"/>
    <w:rPr>
      <w:i/>
      <w:iCs/>
      <w:color w:val="2F5496" w:themeColor="accent1" w:themeShade="BF"/>
    </w:rPr>
  </w:style>
  <w:style w:type="paragraph" w:styleId="IntenseQuote">
    <w:name w:val="Intense Quote"/>
    <w:basedOn w:val="Normal"/>
    <w:next w:val="Normal"/>
    <w:link w:val="IntenseQuoteChar"/>
    <w:uiPriority w:val="30"/>
    <w:qFormat/>
    <w:rsid w:val="00E30E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E4D"/>
    <w:rPr>
      <w:i/>
      <w:iCs/>
      <w:color w:val="2F5496" w:themeColor="accent1" w:themeShade="BF"/>
    </w:rPr>
  </w:style>
  <w:style w:type="character" w:styleId="IntenseReference">
    <w:name w:val="Intense Reference"/>
    <w:basedOn w:val="DefaultParagraphFont"/>
    <w:uiPriority w:val="32"/>
    <w:qFormat/>
    <w:rsid w:val="00E30E4D"/>
    <w:rPr>
      <w:b/>
      <w:bCs/>
      <w:smallCaps/>
      <w:color w:val="2F5496" w:themeColor="accent1" w:themeShade="BF"/>
      <w:spacing w:val="5"/>
    </w:rPr>
  </w:style>
  <w:style w:type="paragraph" w:styleId="Header">
    <w:name w:val="header"/>
    <w:basedOn w:val="Normal"/>
    <w:link w:val="HeaderChar"/>
    <w:uiPriority w:val="99"/>
    <w:unhideWhenUsed/>
    <w:rsid w:val="00715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EA6"/>
  </w:style>
  <w:style w:type="paragraph" w:styleId="Footer">
    <w:name w:val="footer"/>
    <w:basedOn w:val="Normal"/>
    <w:link w:val="FooterChar"/>
    <w:uiPriority w:val="99"/>
    <w:unhideWhenUsed/>
    <w:rsid w:val="00715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EA6"/>
  </w:style>
  <w:style w:type="character" w:styleId="Hyperlink">
    <w:name w:val="Hyperlink"/>
    <w:basedOn w:val="DefaultParagraphFont"/>
    <w:uiPriority w:val="99"/>
    <w:unhideWhenUsed/>
    <w:rsid w:val="00715EA6"/>
    <w:rPr>
      <w:color w:val="0563C1" w:themeColor="hyperlink"/>
      <w:u w:val="single"/>
    </w:rPr>
  </w:style>
  <w:style w:type="character" w:styleId="FollowedHyperlink">
    <w:name w:val="FollowedHyperlink"/>
    <w:basedOn w:val="DefaultParagraphFont"/>
    <w:uiPriority w:val="99"/>
    <w:semiHidden/>
    <w:unhideWhenUsed/>
    <w:rsid w:val="00715EA6"/>
    <w:rPr>
      <w:color w:val="954F72" w:themeColor="followedHyperlink"/>
      <w:u w:val="single"/>
    </w:rPr>
  </w:style>
  <w:style w:type="character" w:styleId="UnresolvedMention">
    <w:name w:val="Unresolved Mention"/>
    <w:basedOn w:val="DefaultParagraphFont"/>
    <w:uiPriority w:val="99"/>
    <w:semiHidden/>
    <w:unhideWhenUsed/>
    <w:rsid w:val="00140A74"/>
    <w:rPr>
      <w:color w:val="605E5C"/>
      <w:shd w:val="clear" w:color="auto" w:fill="E1DFDD"/>
    </w:rPr>
  </w:style>
  <w:style w:type="paragraph" w:styleId="ListBullet">
    <w:name w:val="List Bullet"/>
    <w:basedOn w:val="Normal"/>
    <w:uiPriority w:val="99"/>
    <w:unhideWhenUsed/>
    <w:rsid w:val="006715C7"/>
    <w:pPr>
      <w:numPr>
        <w:numId w:val="1"/>
      </w:numPr>
      <w:spacing w:after="200" w:line="276" w:lineRule="auto"/>
      <w:contextualSpacing/>
    </w:pPr>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390394">
      <w:bodyDiv w:val="1"/>
      <w:marLeft w:val="0"/>
      <w:marRight w:val="0"/>
      <w:marTop w:val="0"/>
      <w:marBottom w:val="0"/>
      <w:divBdr>
        <w:top w:val="none" w:sz="0" w:space="0" w:color="auto"/>
        <w:left w:val="none" w:sz="0" w:space="0" w:color="auto"/>
        <w:bottom w:val="none" w:sz="0" w:space="0" w:color="auto"/>
        <w:right w:val="none" w:sz="0" w:space="0" w:color="auto"/>
      </w:divBdr>
      <w:divsChild>
        <w:div w:id="389305899">
          <w:marLeft w:val="0"/>
          <w:marRight w:val="0"/>
          <w:marTop w:val="0"/>
          <w:marBottom w:val="0"/>
          <w:divBdr>
            <w:top w:val="none" w:sz="0" w:space="0" w:color="auto"/>
            <w:left w:val="none" w:sz="0" w:space="0" w:color="auto"/>
            <w:bottom w:val="none" w:sz="0" w:space="0" w:color="auto"/>
            <w:right w:val="none" w:sz="0" w:space="0" w:color="auto"/>
          </w:divBdr>
          <w:divsChild>
            <w:div w:id="424962903">
              <w:marLeft w:val="0"/>
              <w:marRight w:val="0"/>
              <w:marTop w:val="0"/>
              <w:marBottom w:val="0"/>
              <w:divBdr>
                <w:top w:val="none" w:sz="0" w:space="0" w:color="auto"/>
                <w:left w:val="none" w:sz="0" w:space="0" w:color="auto"/>
                <w:bottom w:val="none" w:sz="0" w:space="0" w:color="auto"/>
                <w:right w:val="none" w:sz="0" w:space="0" w:color="auto"/>
              </w:divBdr>
              <w:divsChild>
                <w:div w:id="246546970">
                  <w:marLeft w:val="0"/>
                  <w:marRight w:val="0"/>
                  <w:marTop w:val="0"/>
                  <w:marBottom w:val="0"/>
                  <w:divBdr>
                    <w:top w:val="none" w:sz="0" w:space="0" w:color="auto"/>
                    <w:left w:val="none" w:sz="0" w:space="0" w:color="auto"/>
                    <w:bottom w:val="none" w:sz="0" w:space="0" w:color="auto"/>
                    <w:right w:val="none" w:sz="0" w:space="0" w:color="auto"/>
                  </w:divBdr>
                  <w:divsChild>
                    <w:div w:id="13308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065306">
      <w:bodyDiv w:val="1"/>
      <w:marLeft w:val="0"/>
      <w:marRight w:val="0"/>
      <w:marTop w:val="0"/>
      <w:marBottom w:val="0"/>
      <w:divBdr>
        <w:top w:val="none" w:sz="0" w:space="0" w:color="auto"/>
        <w:left w:val="none" w:sz="0" w:space="0" w:color="auto"/>
        <w:bottom w:val="none" w:sz="0" w:space="0" w:color="auto"/>
        <w:right w:val="none" w:sz="0" w:space="0" w:color="auto"/>
      </w:divBdr>
      <w:divsChild>
        <w:div w:id="437263221">
          <w:marLeft w:val="0"/>
          <w:marRight w:val="0"/>
          <w:marTop w:val="0"/>
          <w:marBottom w:val="0"/>
          <w:divBdr>
            <w:top w:val="none" w:sz="0" w:space="0" w:color="auto"/>
            <w:left w:val="none" w:sz="0" w:space="0" w:color="auto"/>
            <w:bottom w:val="none" w:sz="0" w:space="0" w:color="auto"/>
            <w:right w:val="none" w:sz="0" w:space="0" w:color="auto"/>
          </w:divBdr>
          <w:divsChild>
            <w:div w:id="1404259087">
              <w:marLeft w:val="0"/>
              <w:marRight w:val="0"/>
              <w:marTop w:val="0"/>
              <w:marBottom w:val="0"/>
              <w:divBdr>
                <w:top w:val="none" w:sz="0" w:space="0" w:color="auto"/>
                <w:left w:val="none" w:sz="0" w:space="0" w:color="auto"/>
                <w:bottom w:val="none" w:sz="0" w:space="0" w:color="auto"/>
                <w:right w:val="none" w:sz="0" w:space="0" w:color="auto"/>
              </w:divBdr>
              <w:divsChild>
                <w:div w:id="1137182756">
                  <w:marLeft w:val="0"/>
                  <w:marRight w:val="0"/>
                  <w:marTop w:val="0"/>
                  <w:marBottom w:val="0"/>
                  <w:divBdr>
                    <w:top w:val="none" w:sz="0" w:space="0" w:color="auto"/>
                    <w:left w:val="none" w:sz="0" w:space="0" w:color="auto"/>
                    <w:bottom w:val="none" w:sz="0" w:space="0" w:color="auto"/>
                    <w:right w:val="none" w:sz="0" w:space="0" w:color="auto"/>
                  </w:divBdr>
                  <w:divsChild>
                    <w:div w:id="17419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hs.gov/about/news/hhs-restructuring-doge-fact-sheet.html" TargetMode="External"/><Relationship Id="rId13" Type="http://schemas.openxmlformats.org/officeDocument/2006/relationships/hyperlink" Target="https://www.healthaffairs.org/content/briefs/improved-state-level-disability-data-necessary-advancing-health-equity?utm_campaign=health+policy+brief&amp;utm_medium=email&amp;_hsenc=p2ANqtz-8o5wpLmrOkGpI-CyrKhHyrNdwgHtqqoDzmmdsL4b3RiVyV69oqHt8rAWaP0voMkWfHFi1a75xQsxt4hUisGrWfd6fJgZTo4o6zuk9HlfMIkvOjOlI&amp;_hsmi=353950028&amp;utm_source=hat" TargetMode="External"/><Relationship Id="rId18" Type="http://schemas.openxmlformats.org/officeDocument/2006/relationships/hyperlink" Target="https://www.hhs.gov/about/news/secretary-kennedy-opiod-crisis-emergency-declaration.html" TargetMode="External"/><Relationship Id="rId26" Type="http://schemas.openxmlformats.org/officeDocument/2006/relationships/hyperlink" Target="https://www.politico.com/live-events/2025/04/02/politicos-2025-health-care-summit-00001597" TargetMode="External"/><Relationship Id="rId3" Type="http://schemas.openxmlformats.org/officeDocument/2006/relationships/settings" Target="settings.xml"/><Relationship Id="rId21" Type="http://schemas.openxmlformats.org/officeDocument/2006/relationships/hyperlink" Target="https://www.congress.gov/bill/117th-congress/house-bill/1319" TargetMode="External"/><Relationship Id="rId7" Type="http://schemas.openxmlformats.org/officeDocument/2006/relationships/image" Target="media/image1.png"/><Relationship Id="rId12" Type="http://schemas.openxmlformats.org/officeDocument/2006/relationships/hyperlink" Target="https://kffhealthnews.org/news/article/medicaid-disabilities-work-asset-caps-buyin-premiums-rural-iowa-legislation/?utm_campaign=morning_rounds&amp;utm_medium=email&amp;_hsenc=p2ANqtz-9yau10mA75xrD98BfMWdvLNKkyyo8-NoNN6v5WqjNtEiaI5DcVSNkz6GX5CsoSc6etjHiaV5w0mfB_ULDbNkTcuc1Min7kfYCdIWHyWfq35NXQBqk&amp;_hsmi=353599433&amp;utm_content=353599433&amp;utm_source=hs_email" TargetMode="External"/><Relationship Id="rId17" Type="http://schemas.openxmlformats.org/officeDocument/2006/relationships/hyperlink" Target="https://www.niddk.nih.gov/about-niddk/research-areas/diabetes/diabetes-prevention-program-dpp" TargetMode="External"/><Relationship Id="rId25" Type="http://schemas.openxmlformats.org/officeDocument/2006/relationships/hyperlink" Target="https://veterans.house.gov/calendar/?EventTypeID=565" TargetMode="External"/><Relationship Id="rId2" Type="http://schemas.openxmlformats.org/officeDocument/2006/relationships/styles" Target="styles.xml"/><Relationship Id="rId16" Type="http://schemas.openxmlformats.org/officeDocument/2006/relationships/hyperlink" Target="https://www.ajmc.com/view/trump-administration-cancels-crucial-funding-for-diabetes-prevention-program" TargetMode="External"/><Relationship Id="rId20" Type="http://schemas.openxmlformats.org/officeDocument/2006/relationships/hyperlink" Target="https://insidehealthpolicy.com/daily-news/bucshon-sees-potential-compromise-enhanced-aptcs"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hitehouse.gov/presidential-actions/2025/01/return-to-in-person-work/" TargetMode="External"/><Relationship Id="rId24" Type="http://schemas.openxmlformats.org/officeDocument/2006/relationships/hyperlink" Target="https://energycommerce.house.gov/events/health-subcommittee-examining-the-fda-s-regulation-of-over-the-counter-monograph-drugs" TargetMode="External"/><Relationship Id="rId5" Type="http://schemas.openxmlformats.org/officeDocument/2006/relationships/footnotes" Target="footnotes.xml"/><Relationship Id="rId15" Type="http://schemas.openxmlformats.org/officeDocument/2006/relationships/hyperlink" Target="https://www.commonwealthfund.org/publications/explainer/2025/mar/how-do-we-pay-for-medicaid" TargetMode="External"/><Relationship Id="rId23" Type="http://schemas.openxmlformats.org/officeDocument/2006/relationships/hyperlink" Target="https://thehill.com/homenews/house/5222998-senate-republicans-budget-resolution/" TargetMode="External"/><Relationship Id="rId28" Type="http://schemas.openxmlformats.org/officeDocument/2006/relationships/hyperlink" Target="https://veterans.house.gov/calendar/eventsingle.aspx?EventID=6677" TargetMode="External"/><Relationship Id="rId10" Type="http://schemas.openxmlformats.org/officeDocument/2006/relationships/hyperlink" Target="https://www.opm.gov/policy-data-oversight/workforce-restructuring/voluntary-separation-incentive-payments/" TargetMode="External"/><Relationship Id="rId19" Type="http://schemas.openxmlformats.org/officeDocument/2006/relationships/hyperlink" Target="https://www.cdc.gov/media/releases/2025/2025-cdc-reports-decline-in-us-drug-overdose-deaths.html"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pnews.com/article/trump-federal-employees-firings-a85d1aaf1088e050d39dcf7e3664bb9f" TargetMode="External"/><Relationship Id="rId14" Type="http://schemas.openxmlformats.org/officeDocument/2006/relationships/hyperlink" Target="https://www.kff.org/medicaid/issue-brief/what-services-does-medicaid-cover-in-assisted-living-facilities/" TargetMode="External"/><Relationship Id="rId22" Type="http://schemas.openxmlformats.org/officeDocument/2006/relationships/hyperlink" Target="https://www.congress.gov/bill/117th-congress/house-bill/5376/text" TargetMode="External"/><Relationship Id="rId27" Type="http://schemas.openxmlformats.org/officeDocument/2006/relationships/hyperlink" Target="https://edworkforce.house.gov/calendar/eventsingle.aspx?EventID=412294"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2182</Words>
  <Characters>12444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Jordan</dc:creator>
  <cp:keywords/>
  <dc:description/>
  <cp:lastModifiedBy>Rachel Jordan</cp:lastModifiedBy>
  <cp:revision>2</cp:revision>
  <dcterms:created xsi:type="dcterms:W3CDTF">2025-03-31T19:43:00Z</dcterms:created>
  <dcterms:modified xsi:type="dcterms:W3CDTF">2025-03-31T19:43:00Z</dcterms:modified>
</cp:coreProperties>
</file>