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2F98F" w14:textId="38578C72" w:rsidR="00715EA6" w:rsidRPr="00715EA6" w:rsidRDefault="00715EA6" w:rsidP="3DD66EBC">
      <w:pPr>
        <w:pStyle w:val="Heading1"/>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6"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4312D2F0" w:rsidRPr="4312D2F0">
        <w:rPr>
          <w:rFonts w:ascii="Poppins SemiBold" w:hAnsi="Poppins SemiBold"/>
          <w:b/>
          <w:bCs/>
          <w:color w:val="4471C4"/>
          <w:sz w:val="32"/>
          <w:szCs w:val="32"/>
        </w:rPr>
        <w:t>March 17, 2025</w:t>
      </w:r>
    </w:p>
    <w:p w14:paraId="3CE0D7DB" w14:textId="1E7A0A3D" w:rsidR="7075FAD3" w:rsidRDefault="7075FAD3" w:rsidP="7075FAD3">
      <w:pPr>
        <w:spacing w:before="120" w:after="120"/>
      </w:pPr>
      <w:r w:rsidRPr="7075FAD3">
        <w:rPr>
          <w:rFonts w:ascii="Poppins SemiBold" w:hAnsi="Poppins SemiBold"/>
          <w:b/>
          <w:bCs/>
          <w:color w:val="4471C4"/>
          <w:sz w:val="24"/>
          <w:szCs w:val="24"/>
        </w:rPr>
        <w:t>Education Department Layoffs Spark Special Ed Concerns</w:t>
      </w:r>
    </w:p>
    <w:p w14:paraId="1F6C88CE" w14:textId="7224B7F8" w:rsidR="7075FAD3" w:rsidRPr="00790955" w:rsidRDefault="7075FAD3" w:rsidP="7075FAD3">
      <w:pPr>
        <w:spacing w:before="120" w:after="120"/>
        <w:rPr>
          <w:rFonts w:ascii="Poppins" w:eastAsia="Poppins" w:hAnsi="Poppins" w:cs="Poppins"/>
          <w:sz w:val="20"/>
          <w:szCs w:val="20"/>
        </w:rPr>
      </w:pPr>
      <w:r w:rsidRPr="00790955">
        <w:rPr>
          <w:rFonts w:ascii="Poppins" w:eastAsia="Poppins" w:hAnsi="Poppins" w:cs="Poppins"/>
          <w:sz w:val="20"/>
          <w:szCs w:val="20"/>
        </w:rPr>
        <w:t xml:space="preserve">The U.S. Department of Education is </w:t>
      </w:r>
      <w:hyperlink r:id="rId7">
        <w:r w:rsidRPr="00790955">
          <w:rPr>
            <w:rStyle w:val="Hyperlink"/>
            <w:rFonts w:ascii="Poppins" w:eastAsia="Poppins" w:hAnsi="Poppins" w:cs="Poppins"/>
            <w:sz w:val="20"/>
            <w:szCs w:val="20"/>
          </w:rPr>
          <w:t>cuttin</w:t>
        </w:r>
        <w:r w:rsidRPr="00790955">
          <w:rPr>
            <w:rStyle w:val="Hyperlink"/>
            <w:rFonts w:ascii="Poppins" w:eastAsia="Poppins" w:hAnsi="Poppins" w:cs="Poppins"/>
            <w:sz w:val="20"/>
            <w:szCs w:val="20"/>
          </w:rPr>
          <w:t>g</w:t>
        </w:r>
      </w:hyperlink>
      <w:r w:rsidRPr="00790955">
        <w:rPr>
          <w:rFonts w:ascii="Poppins" w:eastAsia="Poppins" w:hAnsi="Poppins" w:cs="Poppins"/>
          <w:sz w:val="20"/>
          <w:szCs w:val="20"/>
        </w:rPr>
        <w:t xml:space="preserve"> nearly 1,400 jobs, making its workforce half its size since President Trump took office, raising concerns about its ability to uphold the </w:t>
      </w:r>
      <w:hyperlink r:id="rId8">
        <w:r w:rsidRPr="00790955">
          <w:rPr>
            <w:rStyle w:val="Hyperlink"/>
            <w:rFonts w:ascii="Poppins" w:eastAsia="Poppins" w:hAnsi="Poppins" w:cs="Poppins"/>
            <w:sz w:val="20"/>
            <w:szCs w:val="20"/>
          </w:rPr>
          <w:t>Individu</w:t>
        </w:r>
        <w:r w:rsidRPr="00790955">
          <w:rPr>
            <w:rStyle w:val="Hyperlink"/>
            <w:rFonts w:ascii="Poppins" w:eastAsia="Poppins" w:hAnsi="Poppins" w:cs="Poppins"/>
            <w:sz w:val="20"/>
            <w:szCs w:val="20"/>
          </w:rPr>
          <w:t>a</w:t>
        </w:r>
        <w:r w:rsidRPr="00790955">
          <w:rPr>
            <w:rStyle w:val="Hyperlink"/>
            <w:rFonts w:ascii="Poppins" w:eastAsia="Poppins" w:hAnsi="Poppins" w:cs="Poppins"/>
            <w:sz w:val="20"/>
            <w:szCs w:val="20"/>
          </w:rPr>
          <w:t>ls with Disabilities Education Act (IDEA)</w:t>
        </w:r>
      </w:hyperlink>
      <w:r w:rsidRPr="00790955">
        <w:rPr>
          <w:rFonts w:ascii="Poppins" w:eastAsia="Poppins" w:hAnsi="Poppins" w:cs="Poppins"/>
          <w:sz w:val="20"/>
          <w:szCs w:val="20"/>
        </w:rPr>
        <w:t xml:space="preserve"> and other protections. While officials claim key programs will remain intact, Education Secretary McMahon frames the layoffs as a step toward reducing bureaucracy and shifting education oversight to states. She </w:t>
      </w:r>
      <w:proofErr w:type="gramStart"/>
      <w:r w:rsidRPr="00790955">
        <w:rPr>
          <w:rFonts w:ascii="Poppins" w:eastAsia="Poppins" w:hAnsi="Poppins" w:cs="Poppins"/>
          <w:sz w:val="20"/>
          <w:szCs w:val="20"/>
        </w:rPr>
        <w:t>has proposed</w:t>
      </w:r>
      <w:proofErr w:type="gramEnd"/>
      <w:r w:rsidRPr="00790955">
        <w:rPr>
          <w:rFonts w:ascii="Poppins" w:eastAsia="Poppins" w:hAnsi="Poppins" w:cs="Poppins"/>
          <w:sz w:val="20"/>
          <w:szCs w:val="20"/>
        </w:rPr>
        <w:t xml:space="preserve"> moving IDEA to the Department of Health and Human Services and transferring civil rights enforcement to the Department of Justice. Disability advocates warn that these cuts could devastate support for the </w:t>
      </w:r>
      <w:proofErr w:type="gramStart"/>
      <w:r w:rsidRPr="00790955">
        <w:rPr>
          <w:rFonts w:ascii="Poppins" w:eastAsia="Poppins" w:hAnsi="Poppins" w:cs="Poppins"/>
          <w:sz w:val="20"/>
          <w:szCs w:val="20"/>
        </w:rPr>
        <w:t>nation’s 7.5</w:t>
      </w:r>
      <w:proofErr w:type="gramEnd"/>
      <w:r w:rsidRPr="00790955">
        <w:rPr>
          <w:rFonts w:ascii="Poppins" w:eastAsia="Poppins" w:hAnsi="Poppins" w:cs="Poppins"/>
          <w:sz w:val="20"/>
          <w:szCs w:val="20"/>
        </w:rPr>
        <w:t xml:space="preserve"> million special education students, threatening funding, early intervention, vocational training, and legal protections. Critics argue that the move weakens public education, leaving vulnerable students without crucial services and oversight.</w:t>
      </w:r>
    </w:p>
    <w:p w14:paraId="1080EB15" w14:textId="34A55476" w:rsidR="35EDBA15" w:rsidRDefault="35EDBA15" w:rsidP="35EDBA15">
      <w:pPr>
        <w:spacing w:before="120" w:after="120"/>
      </w:pPr>
      <w:r w:rsidRPr="35EDBA15">
        <w:rPr>
          <w:rFonts w:ascii="Poppins SemiBold" w:hAnsi="Poppins SemiBold"/>
          <w:b/>
          <w:bCs/>
          <w:color w:val="4471C4"/>
          <w:sz w:val="24"/>
          <w:szCs w:val="24"/>
        </w:rPr>
        <w:t xml:space="preserve">Advocates Fight to Protect Disability Rights Amid Texas </w:t>
      </w:r>
      <w:proofErr w:type="gramStart"/>
      <w:r w:rsidRPr="35EDBA15">
        <w:rPr>
          <w:rFonts w:ascii="Poppins SemiBold" w:hAnsi="Poppins SemiBold"/>
          <w:b/>
          <w:bCs/>
          <w:color w:val="4471C4"/>
          <w:sz w:val="24"/>
          <w:szCs w:val="24"/>
        </w:rPr>
        <w:t>Lawsuit</w:t>
      </w:r>
      <w:proofErr w:type="gramEnd"/>
    </w:p>
    <w:p w14:paraId="3DCBDADB" w14:textId="69DF77FB" w:rsidR="35EDBA15" w:rsidRPr="00790955" w:rsidRDefault="7075FAD3" w:rsidP="35EDBA15">
      <w:pPr>
        <w:spacing w:after="240"/>
        <w:rPr>
          <w:sz w:val="20"/>
          <w:szCs w:val="20"/>
        </w:rPr>
      </w:pPr>
      <w:r w:rsidRPr="00790955">
        <w:rPr>
          <w:rFonts w:ascii="Poppins" w:hAnsi="Poppins"/>
          <w:sz w:val="20"/>
          <w:szCs w:val="20"/>
        </w:rPr>
        <w:t xml:space="preserve">Disability rights advocates, led by </w:t>
      </w:r>
      <w:hyperlink r:id="rId9">
        <w:r w:rsidRPr="00790955">
          <w:rPr>
            <w:rStyle w:val="Hyperlink"/>
            <w:rFonts w:ascii="Poppins" w:hAnsi="Poppins"/>
            <w:sz w:val="20"/>
            <w:szCs w:val="20"/>
          </w:rPr>
          <w:t>ADAPT o</w:t>
        </w:r>
        <w:r w:rsidRPr="00790955">
          <w:rPr>
            <w:rStyle w:val="Hyperlink"/>
            <w:rFonts w:ascii="Poppins" w:hAnsi="Poppins"/>
            <w:sz w:val="20"/>
            <w:szCs w:val="20"/>
          </w:rPr>
          <w:t>f</w:t>
        </w:r>
        <w:r w:rsidRPr="00790955">
          <w:rPr>
            <w:rStyle w:val="Hyperlink"/>
            <w:rFonts w:ascii="Poppins" w:hAnsi="Poppins"/>
            <w:sz w:val="20"/>
            <w:szCs w:val="20"/>
          </w:rPr>
          <w:t xml:space="preserve"> Texas</w:t>
        </w:r>
      </w:hyperlink>
      <w:r w:rsidRPr="00790955">
        <w:rPr>
          <w:rFonts w:ascii="Poppins" w:hAnsi="Poppins"/>
          <w:sz w:val="20"/>
          <w:szCs w:val="20"/>
        </w:rPr>
        <w:t xml:space="preserve">, </w:t>
      </w:r>
      <w:hyperlink r:id="rId10">
        <w:r w:rsidRPr="00790955">
          <w:rPr>
            <w:rStyle w:val="Hyperlink"/>
            <w:rFonts w:ascii="Poppins" w:hAnsi="Poppins"/>
            <w:sz w:val="20"/>
            <w:szCs w:val="20"/>
          </w:rPr>
          <w:t>ral</w:t>
        </w:r>
        <w:r w:rsidRPr="00790955">
          <w:rPr>
            <w:rStyle w:val="Hyperlink"/>
            <w:rFonts w:ascii="Poppins" w:hAnsi="Poppins"/>
            <w:sz w:val="20"/>
            <w:szCs w:val="20"/>
          </w:rPr>
          <w:t>l</w:t>
        </w:r>
        <w:r w:rsidRPr="00790955">
          <w:rPr>
            <w:rStyle w:val="Hyperlink"/>
            <w:rFonts w:ascii="Poppins" w:hAnsi="Poppins"/>
            <w:sz w:val="20"/>
            <w:szCs w:val="20"/>
          </w:rPr>
          <w:t>ied</w:t>
        </w:r>
      </w:hyperlink>
      <w:r w:rsidRPr="00790955">
        <w:rPr>
          <w:rFonts w:ascii="Poppins" w:hAnsi="Poppins"/>
          <w:sz w:val="20"/>
          <w:szCs w:val="20"/>
        </w:rPr>
        <w:t xml:space="preserve"> against Texas v. Becerra, a lawsuit challenging the constitutionality of </w:t>
      </w:r>
      <w:hyperlink r:id="rId11">
        <w:r w:rsidRPr="00790955">
          <w:rPr>
            <w:rStyle w:val="Hyperlink"/>
            <w:rFonts w:ascii="Poppins" w:hAnsi="Poppins"/>
            <w:sz w:val="20"/>
            <w:szCs w:val="20"/>
          </w:rPr>
          <w:t>Section 504 of the Rehabilitation Act</w:t>
        </w:r>
      </w:hyperlink>
      <w:r w:rsidRPr="00790955">
        <w:rPr>
          <w:rFonts w:ascii="Poppins" w:hAnsi="Poppins"/>
          <w:sz w:val="20"/>
          <w:szCs w:val="20"/>
        </w:rPr>
        <w:t xml:space="preserve">, which mandates accessibility in federally funded programs. While Texas and 16 other states claim the suit aims to prevent federal overreach, advocates argue it threatens essential disability </w:t>
      </w:r>
      <w:proofErr w:type="gramStart"/>
      <w:r w:rsidRPr="00790955">
        <w:rPr>
          <w:rFonts w:ascii="Poppins" w:hAnsi="Poppins"/>
          <w:sz w:val="20"/>
          <w:szCs w:val="20"/>
        </w:rPr>
        <w:t>protections</w:t>
      </w:r>
      <w:proofErr w:type="gramEnd"/>
      <w:r w:rsidRPr="00790955">
        <w:rPr>
          <w:rFonts w:ascii="Poppins" w:hAnsi="Poppins"/>
          <w:sz w:val="20"/>
          <w:szCs w:val="20"/>
        </w:rPr>
        <w:t xml:space="preserve"> in education, housing, healthcare, and transportation. Activists like Bob Kafka warn this could set a precedent for rolling back broader civil rights. Individuals like Amy Litzinger and Juliana Yllescas emphasize the personal impact, highlighting how 504 enables independence and integration. Despite the Texas attorney general’s claim that the lawsuit is not meant to harm disabled individuals, its language questions the act’s constitutionality altogether. Advocates remain mobilized, urging public action to protect these rights.</w:t>
      </w:r>
    </w:p>
    <w:p w14:paraId="2DA572E4" w14:textId="77777777" w:rsidR="7075FAD3" w:rsidRDefault="7075FAD3" w:rsidP="7075FAD3">
      <w:pPr>
        <w:spacing w:before="120" w:after="120"/>
      </w:pPr>
      <w:r w:rsidRPr="7075FAD3">
        <w:rPr>
          <w:rFonts w:ascii="Poppins SemiBold" w:hAnsi="Poppins SemiBold"/>
          <w:b/>
          <w:bCs/>
          <w:color w:val="4471C4"/>
          <w:sz w:val="24"/>
          <w:szCs w:val="24"/>
        </w:rPr>
        <w:t>Study Shows that Medicare Advantage Special Needs Plans Steer Patients to Lower-Quality Hospice Care</w:t>
      </w:r>
    </w:p>
    <w:p w14:paraId="6EED59E7" w14:textId="77777777" w:rsidR="7075FAD3" w:rsidRPr="00790955" w:rsidRDefault="7075FAD3" w:rsidP="7075FAD3">
      <w:pPr>
        <w:spacing w:after="240"/>
        <w:rPr>
          <w:sz w:val="20"/>
          <w:szCs w:val="20"/>
        </w:rPr>
      </w:pPr>
      <w:r w:rsidRPr="00790955">
        <w:rPr>
          <w:rFonts w:ascii="Poppins" w:hAnsi="Poppins"/>
          <w:sz w:val="20"/>
          <w:szCs w:val="20"/>
        </w:rPr>
        <w:lastRenderedPageBreak/>
        <w:t xml:space="preserve">A </w:t>
      </w:r>
      <w:hyperlink r:id="rId12">
        <w:r w:rsidRPr="00790955">
          <w:rPr>
            <w:rFonts w:ascii="Poppins" w:hAnsi="Poppins"/>
            <w:color w:val="2F5496" w:themeColor="accent1" w:themeShade="BF"/>
            <w:sz w:val="20"/>
            <w:szCs w:val="20"/>
            <w:u w:val="single"/>
          </w:rPr>
          <w:t>stud</w:t>
        </w:r>
        <w:r w:rsidRPr="00790955">
          <w:rPr>
            <w:rFonts w:ascii="Poppins" w:hAnsi="Poppins"/>
            <w:color w:val="2F5496" w:themeColor="accent1" w:themeShade="BF"/>
            <w:sz w:val="20"/>
            <w:szCs w:val="20"/>
            <w:u w:val="single"/>
          </w:rPr>
          <w:t>y</w:t>
        </w:r>
      </w:hyperlink>
      <w:r w:rsidRPr="00790955">
        <w:rPr>
          <w:rFonts w:ascii="Poppins" w:hAnsi="Poppins"/>
          <w:sz w:val="20"/>
          <w:szCs w:val="20"/>
        </w:rPr>
        <w:t xml:space="preserve"> by the University of Pennsylvania’s Leonard Davis Institute of Health Economics (UPenn LDI) found that beneficiaries of Medicare Advantage special needs plans (SNPs), particularly those dually eligible for Medicare and Medicaid, are significantly more likely to receive hospice care from lower-quality providers than fee-for-service enrollees. These disparities may stem from referrals by contracted hospitals and nursing homes that prioritize cost over quality or from limited geographic access to high-quality hospices. Unlike most Medicare Advantage services, hospice care is covered by traditional Medicare, incentivizing plans to refer patients to hospice. While previous research confirms higher hospice enrollment among Medicare Advantage beneficiaries, this study found that SNP enrollees—who often have chronic conditions like dementia or require institutional care—experience disproportionately lower hospice quality. With SNP enrollment more than doubling since 2019 to 6.6 million, 88% of whom are dually eligible, the findings highlight the need for policy interventions to improve hospice access and incentivize referrals to higher-quality providers.</w:t>
      </w:r>
    </w:p>
    <w:p w14:paraId="330FC5ED" w14:textId="77777777" w:rsidR="7075FAD3" w:rsidRDefault="7075FAD3" w:rsidP="7075FAD3">
      <w:pPr>
        <w:spacing w:before="120" w:after="120"/>
      </w:pPr>
      <w:r w:rsidRPr="7075FAD3">
        <w:rPr>
          <w:rFonts w:ascii="Poppins SemiBold" w:hAnsi="Poppins SemiBold"/>
          <w:b/>
          <w:bCs/>
          <w:color w:val="4471C4"/>
          <w:sz w:val="24"/>
          <w:szCs w:val="24"/>
        </w:rPr>
        <w:t>Medicaid Cuts Threaten Coverage for Millions Across Congressional Districts</w:t>
      </w:r>
    </w:p>
    <w:p w14:paraId="5480C819" w14:textId="3DF9614E" w:rsidR="7075FAD3" w:rsidRPr="00790955" w:rsidRDefault="7075FAD3" w:rsidP="7075FAD3">
      <w:pPr>
        <w:spacing w:after="240"/>
        <w:rPr>
          <w:sz w:val="20"/>
          <w:szCs w:val="20"/>
        </w:rPr>
      </w:pPr>
      <w:r w:rsidRPr="00790955">
        <w:rPr>
          <w:rFonts w:ascii="Poppins" w:hAnsi="Poppins"/>
          <w:sz w:val="20"/>
          <w:szCs w:val="20"/>
        </w:rPr>
        <w:t xml:space="preserve">A </w:t>
      </w:r>
      <w:hyperlink r:id="rId13">
        <w:r w:rsidRPr="00790955">
          <w:rPr>
            <w:rFonts w:ascii="Poppins" w:hAnsi="Poppins"/>
            <w:color w:val="2F5496" w:themeColor="accent1" w:themeShade="BF"/>
            <w:sz w:val="20"/>
            <w:szCs w:val="20"/>
            <w:u w:val="single"/>
          </w:rPr>
          <w:t>stud</w:t>
        </w:r>
        <w:r w:rsidRPr="00790955">
          <w:rPr>
            <w:rFonts w:ascii="Poppins" w:hAnsi="Poppins"/>
            <w:color w:val="2F5496" w:themeColor="accent1" w:themeShade="BF"/>
            <w:sz w:val="20"/>
            <w:szCs w:val="20"/>
            <w:u w:val="single"/>
          </w:rPr>
          <w:t>y</w:t>
        </w:r>
      </w:hyperlink>
      <w:r w:rsidRPr="00790955">
        <w:rPr>
          <w:rFonts w:ascii="Poppins" w:hAnsi="Poppins"/>
          <w:sz w:val="20"/>
          <w:szCs w:val="20"/>
        </w:rPr>
        <w:t xml:space="preserve"> by the Kaiser Family Foundation (KFF) analyzing Medicaid enrollment by congressional district found that each district has at least 53,000 enrollees, with some exceeding 500,000. Significant Medicaid spending cuts of up to $880 billion over a decade to offset tax cuts could reduce federal Medicaid funding by 13%, forcing states to either raise revenue or cut coverage, services, or provider payments. Medicaid, which provides healthcare for 83 million low-income Americans, including older adults and people with disabilities, accounts for nearly 20% of U.S. healthcare spending and is jointly funded by states and the federal government. Republican districts tend to have higher shares of Medicaid enrollees who are children or disabled, while Democratic districts have more expansion enrollees and adults aged 65 and older. The Republican districts with the highest Medicaid enrollment include CA22 (495,200) and KY05 (397,800), while the top Democratic districts include NY15 (510,100) and CA43 (473,500), highlighting the widespread reliance on Medicaid across political lines.</w:t>
      </w:r>
    </w:p>
    <w:p w14:paraId="7C0E8CBF" w14:textId="77777777" w:rsidR="6AF7087D" w:rsidRDefault="6AF7087D" w:rsidP="6AF7087D">
      <w:pPr>
        <w:spacing w:before="120" w:after="120"/>
      </w:pPr>
      <w:proofErr w:type="spellStart"/>
      <w:r w:rsidRPr="6AF7087D">
        <w:rPr>
          <w:rFonts w:ascii="Poppins SemiBold" w:hAnsi="Poppins SemiBold"/>
          <w:b/>
          <w:bCs/>
          <w:color w:val="4472C4" w:themeColor="accent1"/>
          <w:sz w:val="24"/>
          <w:szCs w:val="24"/>
        </w:rPr>
        <w:t>Healthsperien</w:t>
      </w:r>
      <w:proofErr w:type="spellEnd"/>
      <w:r w:rsidRPr="6AF7087D">
        <w:rPr>
          <w:rFonts w:ascii="Poppins SemiBold" w:hAnsi="Poppins SemiBold"/>
          <w:b/>
          <w:bCs/>
          <w:color w:val="4472C4" w:themeColor="accent1"/>
          <w:sz w:val="24"/>
          <w:szCs w:val="24"/>
        </w:rPr>
        <w:t xml:space="preserve"> Releases Comprehensive Notes on House Ways and Means Health Subcommittee Hearing on Post-Acute Care</w:t>
      </w:r>
    </w:p>
    <w:p w14:paraId="171DEDDE" w14:textId="6BB14601" w:rsidR="6AF7087D" w:rsidRPr="00790955" w:rsidRDefault="6AF7087D" w:rsidP="6AF7087D">
      <w:pPr>
        <w:spacing w:after="240"/>
        <w:rPr>
          <w:sz w:val="20"/>
          <w:szCs w:val="20"/>
        </w:rPr>
      </w:pPr>
      <w:r w:rsidRPr="00790955">
        <w:rPr>
          <w:rFonts w:ascii="Poppins" w:hAnsi="Poppins"/>
          <w:sz w:val="20"/>
          <w:szCs w:val="20"/>
        </w:rPr>
        <w:t xml:space="preserve">The House Ways and Means Health Subcommittee held a </w:t>
      </w:r>
      <w:hyperlink r:id="rId14">
        <w:r w:rsidRPr="00790955">
          <w:rPr>
            <w:rFonts w:ascii="Poppins" w:hAnsi="Poppins"/>
            <w:color w:val="2F5496" w:themeColor="accent1" w:themeShade="BF"/>
            <w:sz w:val="20"/>
            <w:szCs w:val="20"/>
            <w:u w:val="single"/>
          </w:rPr>
          <w:t>hearing</w:t>
        </w:r>
      </w:hyperlink>
      <w:r w:rsidRPr="00790955">
        <w:rPr>
          <w:rFonts w:ascii="Poppins" w:hAnsi="Poppins"/>
          <w:sz w:val="20"/>
          <w:szCs w:val="20"/>
        </w:rPr>
        <w:t xml:space="preserve"> on ‘After the Hospital: Ensuring Access to Quality Post-Acute Care.’ Lawmakers discussed the importance of Medicaid, which funds a significant portion of long-term and home-based care and debated concerns over proposed funding cuts that could threaten access for millions of seniors and individuals with disabilities. Witnesses, including Dr. Dana Madison, the administrator for Compassion Home Health Care; Mr. Paul Dongilli, President and CEO of Madonna Rehabilitation Hospitals; Mr. Jonathan Fleece, President and CEO of Empath Health; Ms. Lisa Grabert, a visiting research professor in nursing; and Mr. Eric Carlson, Director of Long-Term </w:t>
      </w:r>
      <w:r w:rsidRPr="00790955">
        <w:rPr>
          <w:rFonts w:ascii="Poppins" w:hAnsi="Poppins"/>
          <w:sz w:val="20"/>
          <w:szCs w:val="20"/>
        </w:rPr>
        <w:lastRenderedPageBreak/>
        <w:t xml:space="preserve">Services at Justice in Aging, highlighted workforce shortages, reimbursement issues, and barriers created by Medicare Advantage’s prior authorization policies, which delay or deny necessary post-acute care. Proposals to improve post-acute care included expanding telehealth, reforming payment models, and strengthening staffing standards, while concerns were raised over the sustainability of nursing homes and home health agencies under current funding constraints. The hearing underscored bipartisan efforts to balance cost efficiency with ensuring high-quality care, particularly in rural areas, and the need for long-term solutions to support an aging population. </w:t>
      </w:r>
      <w:proofErr w:type="spellStart"/>
      <w:r w:rsidRPr="00790955">
        <w:rPr>
          <w:rFonts w:ascii="Poppins" w:hAnsi="Poppins"/>
          <w:sz w:val="20"/>
          <w:szCs w:val="20"/>
        </w:rPr>
        <w:t>Healthsperien</w:t>
      </w:r>
      <w:proofErr w:type="spellEnd"/>
      <w:r w:rsidRPr="00790955">
        <w:rPr>
          <w:rFonts w:ascii="Poppins" w:hAnsi="Poppins"/>
          <w:sz w:val="20"/>
          <w:szCs w:val="20"/>
        </w:rPr>
        <w:t xml:space="preserve"> covered the hearing and the comprehensive notes are available </w:t>
      </w:r>
      <w:hyperlink r:id="rId15">
        <w:r w:rsidRPr="00790955">
          <w:rPr>
            <w:rFonts w:ascii="Poppins" w:hAnsi="Poppins"/>
            <w:color w:val="2F5496" w:themeColor="accent1" w:themeShade="BF"/>
            <w:sz w:val="20"/>
            <w:szCs w:val="20"/>
            <w:u w:val="single"/>
          </w:rPr>
          <w:t>here</w:t>
        </w:r>
      </w:hyperlink>
      <w:r w:rsidRPr="00790955">
        <w:rPr>
          <w:rFonts w:ascii="Poppins" w:hAnsi="Poppins"/>
          <w:sz w:val="20"/>
          <w:szCs w:val="20"/>
        </w:rPr>
        <w:t>.</w:t>
      </w:r>
    </w:p>
    <w:p w14:paraId="167F3003" w14:textId="77777777" w:rsidR="6AF7087D" w:rsidRDefault="6AF7087D" w:rsidP="6AF7087D">
      <w:pPr>
        <w:spacing w:before="120" w:after="120"/>
      </w:pPr>
      <w:proofErr w:type="spellStart"/>
      <w:r w:rsidRPr="6AF7087D">
        <w:rPr>
          <w:rFonts w:ascii="Poppins SemiBold" w:hAnsi="Poppins SemiBold"/>
          <w:b/>
          <w:bCs/>
          <w:color w:val="4472C4" w:themeColor="accent1"/>
          <w:sz w:val="24"/>
          <w:szCs w:val="24"/>
        </w:rPr>
        <w:t>Healthsperien</w:t>
      </w:r>
      <w:proofErr w:type="spellEnd"/>
      <w:r w:rsidRPr="6AF7087D">
        <w:rPr>
          <w:rFonts w:ascii="Poppins SemiBold" w:hAnsi="Poppins SemiBold"/>
          <w:b/>
          <w:bCs/>
          <w:color w:val="4472C4" w:themeColor="accent1"/>
          <w:sz w:val="24"/>
          <w:szCs w:val="24"/>
        </w:rPr>
        <w:t xml:space="preserve"> Compiles Comprehensive Summary of Recent </w:t>
      </w:r>
      <w:proofErr w:type="spellStart"/>
      <w:r w:rsidRPr="6AF7087D">
        <w:rPr>
          <w:rFonts w:ascii="Poppins SemiBold" w:hAnsi="Poppins SemiBold"/>
          <w:b/>
          <w:bCs/>
          <w:color w:val="4472C4" w:themeColor="accent1"/>
          <w:sz w:val="24"/>
          <w:szCs w:val="24"/>
        </w:rPr>
        <w:t>MedPac</w:t>
      </w:r>
      <w:proofErr w:type="spellEnd"/>
      <w:r w:rsidRPr="6AF7087D">
        <w:rPr>
          <w:rFonts w:ascii="Poppins SemiBold" w:hAnsi="Poppins SemiBold"/>
          <w:b/>
          <w:bCs/>
          <w:color w:val="4472C4" w:themeColor="accent1"/>
          <w:sz w:val="24"/>
          <w:szCs w:val="24"/>
        </w:rPr>
        <w:t xml:space="preserve"> Public Meeting</w:t>
      </w:r>
    </w:p>
    <w:p w14:paraId="167571A7" w14:textId="2F088997" w:rsidR="6AF7087D" w:rsidRPr="00790955" w:rsidRDefault="53DF4AA9" w:rsidP="6AF7087D">
      <w:pPr>
        <w:spacing w:after="240"/>
        <w:rPr>
          <w:sz w:val="20"/>
          <w:szCs w:val="20"/>
        </w:rPr>
      </w:pPr>
      <w:r w:rsidRPr="00790955">
        <w:rPr>
          <w:rFonts w:ascii="Poppins" w:hAnsi="Poppins"/>
          <w:sz w:val="20"/>
          <w:szCs w:val="20"/>
        </w:rPr>
        <w:t>On March 6-7, the Medicare Payment Advisory Commission (</w:t>
      </w:r>
      <w:proofErr w:type="spellStart"/>
      <w:r w:rsidRPr="00790955">
        <w:rPr>
          <w:rFonts w:ascii="Poppins" w:hAnsi="Poppins"/>
          <w:sz w:val="20"/>
          <w:szCs w:val="20"/>
        </w:rPr>
        <w:t>MedPAC</w:t>
      </w:r>
      <w:proofErr w:type="spellEnd"/>
      <w:r w:rsidRPr="00790955">
        <w:rPr>
          <w:rFonts w:ascii="Poppins" w:hAnsi="Poppins"/>
          <w:sz w:val="20"/>
          <w:szCs w:val="20"/>
        </w:rPr>
        <w:t xml:space="preserve">) </w:t>
      </w:r>
      <w:hyperlink r:id="rId16">
        <w:r w:rsidRPr="00790955">
          <w:rPr>
            <w:rFonts w:ascii="Poppins" w:hAnsi="Poppins"/>
            <w:color w:val="2F5496" w:themeColor="accent1" w:themeShade="BF"/>
            <w:sz w:val="20"/>
            <w:szCs w:val="20"/>
            <w:u w:val="single"/>
          </w:rPr>
          <w:t>held</w:t>
        </w:r>
      </w:hyperlink>
      <w:r w:rsidRPr="00790955">
        <w:rPr>
          <w:rFonts w:ascii="Poppins" w:hAnsi="Poppins"/>
          <w:sz w:val="20"/>
          <w:szCs w:val="20"/>
        </w:rPr>
        <w:t xml:space="preserve"> the March Public Meeting. The agenda covered key Medicare policy discussions, including reforms to the physician fee schedule and adjustments to relative payment rates, efforts to lower beneficiary cost-sharing for outpatient services at critical access hospitals, and an overview of Medicare insurance agents. Additionally, it includes a session on institutional special needs plans, focusing on their role and potential policy changes. </w:t>
      </w:r>
      <w:proofErr w:type="spellStart"/>
      <w:r w:rsidRPr="00790955">
        <w:rPr>
          <w:rFonts w:ascii="Poppins" w:hAnsi="Poppins"/>
          <w:sz w:val="20"/>
          <w:szCs w:val="20"/>
        </w:rPr>
        <w:t>Healthsperien</w:t>
      </w:r>
      <w:proofErr w:type="spellEnd"/>
      <w:r w:rsidRPr="00790955">
        <w:rPr>
          <w:rFonts w:ascii="Poppins" w:hAnsi="Poppins"/>
          <w:sz w:val="20"/>
          <w:szCs w:val="20"/>
        </w:rPr>
        <w:t xml:space="preserve"> covered four of these sessions and comprehensive summaries of each can be found </w:t>
      </w:r>
      <w:hyperlink r:id="rId17">
        <w:r w:rsidRPr="00790955">
          <w:rPr>
            <w:rStyle w:val="Hyperlink"/>
            <w:rFonts w:ascii="Poppins" w:hAnsi="Poppins"/>
            <w:sz w:val="20"/>
            <w:szCs w:val="20"/>
          </w:rPr>
          <w:t>here</w:t>
        </w:r>
      </w:hyperlink>
      <w:r w:rsidRPr="00790955">
        <w:rPr>
          <w:rFonts w:ascii="Poppins" w:hAnsi="Poppins"/>
          <w:sz w:val="20"/>
          <w:szCs w:val="20"/>
        </w:rPr>
        <w:t>.</w:t>
      </w:r>
    </w:p>
    <w:p w14:paraId="5778FB99" w14:textId="3EEEF0BB" w:rsidR="53DF4AA9" w:rsidRDefault="53DF4AA9" w:rsidP="53DF4AA9">
      <w:pPr>
        <w:spacing w:before="120" w:after="120"/>
      </w:pPr>
      <w:r w:rsidRPr="53DF4AA9">
        <w:rPr>
          <w:rFonts w:ascii="Poppins SemiBold" w:hAnsi="Poppins SemiBold"/>
          <w:b/>
          <w:bCs/>
          <w:color w:val="4471C4"/>
          <w:sz w:val="24"/>
          <w:szCs w:val="24"/>
        </w:rPr>
        <w:t>Senate Finance Committee Holds Hearing for the Nomination of Dr. Mehmet Oz to be Administrator of the Centers for Medicare and Medicaid Services</w:t>
      </w:r>
    </w:p>
    <w:p w14:paraId="755EC3C2" w14:textId="7864BDE3" w:rsidR="53DF4AA9" w:rsidRPr="00790955" w:rsidRDefault="53DF4AA9" w:rsidP="00790955">
      <w:pPr>
        <w:spacing w:before="100" w:after="100" w:line="240" w:lineRule="auto"/>
        <w:rPr>
          <w:rFonts w:ascii="Poppins" w:eastAsia="Poppins" w:hAnsi="Poppins" w:cs="Poppins"/>
          <w:color w:val="000000" w:themeColor="text1"/>
          <w:sz w:val="20"/>
          <w:szCs w:val="20"/>
        </w:rPr>
      </w:pPr>
      <w:r w:rsidRPr="00790955">
        <w:rPr>
          <w:rFonts w:ascii="Poppins" w:eastAsia="Poppins" w:hAnsi="Poppins" w:cs="Poppins"/>
          <w:color w:val="000000" w:themeColor="text1"/>
          <w:sz w:val="20"/>
          <w:szCs w:val="20"/>
        </w:rPr>
        <w:t xml:space="preserve">The Senate Finance Committee held a </w:t>
      </w:r>
      <w:hyperlink r:id="rId18">
        <w:r w:rsidRPr="00790955">
          <w:rPr>
            <w:rStyle w:val="Hyperlink"/>
            <w:rFonts w:ascii="Poppins" w:eastAsia="Poppins" w:hAnsi="Poppins" w:cs="Poppins"/>
            <w:sz w:val="20"/>
            <w:szCs w:val="20"/>
          </w:rPr>
          <w:t>hearing</w:t>
        </w:r>
      </w:hyperlink>
      <w:r w:rsidRPr="00790955">
        <w:rPr>
          <w:rFonts w:ascii="Poppins" w:eastAsia="Poppins" w:hAnsi="Poppins" w:cs="Poppins"/>
          <w:color w:val="000000" w:themeColor="text1"/>
          <w:sz w:val="20"/>
          <w:szCs w:val="20"/>
        </w:rPr>
        <w:t xml:space="preserve"> to consider the nomination of Dr. Mehmet Oz to be Administrator of the Centers for Medicare and Medicaid Services (CMS). While Senator Mike Crapo (R-ID) praised Dr. Oz’s qualifications and vision for modernizing healthcare, Senator Ron Wyden (D-OR) and other Democrats raised concerns over his past financial practices, promotion of unproven health products, and potential Medicaid cuts. Dr. Oz outlined his priorities, emphasizing preventive care, AI-driven administrative efficiency, and fraud reduction. He pledged to support telehealth expansion, uphold Medicare drug pricing laws, and ensure better transparency in the healthcare system. Discussions also covered rural hospital closures, prior authorization reform, and the role of private equity in healthcare. While Republicans focused on reducing bureaucracy and increasing patient choice, Democrats pushed for stronger oversight on insurers and protection of Medicaid beneficiaries. The Committee is expected to vote on Dr. Oz's nomination, though a specific date has not been announced. </w:t>
      </w:r>
    </w:p>
    <w:p w14:paraId="23B353CB" w14:textId="77777777" w:rsidR="0091710F" w:rsidRDefault="00000000">
      <w:pPr>
        <w:spacing w:before="120" w:after="120"/>
      </w:pPr>
      <w:r>
        <w:rPr>
          <w:rFonts w:ascii="Poppins SemiBold" w:hAnsi="Poppins SemiBold"/>
          <w:b/>
          <w:color w:val="4472C4"/>
          <w:sz w:val="24"/>
        </w:rPr>
        <w:t>Senate Special Committee on Aging Holds Hearing on Breaking the Cycle of Senior Loneliness</w:t>
      </w:r>
    </w:p>
    <w:p w14:paraId="7928CBBA" w14:textId="380229D5" w:rsidR="0091710F" w:rsidRPr="00790955" w:rsidRDefault="71320201">
      <w:pPr>
        <w:spacing w:after="240"/>
        <w:rPr>
          <w:sz w:val="20"/>
          <w:szCs w:val="20"/>
        </w:rPr>
      </w:pPr>
      <w:r w:rsidRPr="00790955">
        <w:rPr>
          <w:rFonts w:ascii="Poppins" w:hAnsi="Poppins"/>
          <w:sz w:val="20"/>
          <w:szCs w:val="20"/>
        </w:rPr>
        <w:lastRenderedPageBreak/>
        <w:t xml:space="preserve">The Senate Special Committee on Aging held a </w:t>
      </w:r>
      <w:hyperlink r:id="rId19">
        <w:r w:rsidRPr="00790955">
          <w:rPr>
            <w:rFonts w:ascii="Poppins" w:hAnsi="Poppins"/>
            <w:color w:val="2F5496" w:themeColor="accent1" w:themeShade="BF"/>
            <w:sz w:val="20"/>
            <w:szCs w:val="20"/>
            <w:u w:val="single"/>
          </w:rPr>
          <w:t>hearing</w:t>
        </w:r>
      </w:hyperlink>
      <w:r w:rsidRPr="00790955">
        <w:rPr>
          <w:rFonts w:ascii="Poppins" w:hAnsi="Poppins"/>
          <w:sz w:val="20"/>
          <w:szCs w:val="20"/>
        </w:rPr>
        <w:t xml:space="preserve"> on ‘Breaking the Cycle of Senior Loneliness: Strengthening Family and Community Support.’ The hearing emphasized the urgent need to address the epidemic of loneliness and social isolation among older adults, highlighting its severe mental, physical, and financial consequences. During the hearing, Senator Rick Scott (R-FL) underscored the role of social disconnection in contributing to declining health, increased risk of scams, and higher healthcare costs. Witnesses, including Andrew MacPherson, Founder and Executive Chair of the Foundation for Social Connection – Action Network; James Balda, President and CEO of Argentum; Suzanne McCormick, President and CEO of YMCA of the USA; and Tori Strawter-Tanks, Director of Clayton County Senior Services Department discussed various strategies to enhance social engagement, such as intergenerational programs, community-based initiatives, and increased funding for critical services under the Older Americans Act (OAA). They stressed the importance of transportation access, digital literacy, nutrition programs, and wellness initiatives to help seniors stay connected. Committee members acknowledged the need for bipartisan solutions, urging stronger public-private partnerships, policy enhancements, and cultural shifts to combat loneliness and promote healthy aging. The discussion concluded with a call for collective action from the government, the private sector, and communities to support older adults and strengthen intergenerational bonds. </w:t>
      </w:r>
      <w:proofErr w:type="spellStart"/>
      <w:r w:rsidRPr="00790955">
        <w:rPr>
          <w:rFonts w:ascii="Poppins" w:hAnsi="Poppins"/>
          <w:sz w:val="20"/>
          <w:szCs w:val="20"/>
        </w:rPr>
        <w:t>Healthsperien</w:t>
      </w:r>
      <w:proofErr w:type="spellEnd"/>
      <w:r w:rsidRPr="00790955">
        <w:rPr>
          <w:rFonts w:ascii="Poppins" w:hAnsi="Poppins"/>
          <w:sz w:val="20"/>
          <w:szCs w:val="20"/>
        </w:rPr>
        <w:t xml:space="preserve"> covered the hearing and the comprehensive notes are available </w:t>
      </w:r>
      <w:hyperlink r:id="rId20">
        <w:r w:rsidRPr="00790955">
          <w:rPr>
            <w:rStyle w:val="Hyperlink"/>
            <w:rFonts w:ascii="Poppins" w:hAnsi="Poppins"/>
            <w:sz w:val="20"/>
            <w:szCs w:val="20"/>
          </w:rPr>
          <w:t>here</w:t>
        </w:r>
      </w:hyperlink>
      <w:r w:rsidRPr="00790955">
        <w:rPr>
          <w:rFonts w:ascii="Poppins" w:hAnsi="Poppins"/>
          <w:sz w:val="20"/>
          <w:szCs w:val="20"/>
        </w:rPr>
        <w:t>.</w:t>
      </w:r>
    </w:p>
    <w:p w14:paraId="13B281A2" w14:textId="77777777" w:rsidR="0091710F" w:rsidRDefault="00000000">
      <w:pPr>
        <w:spacing w:before="120" w:after="120"/>
      </w:pPr>
      <w:r>
        <w:rPr>
          <w:rFonts w:ascii="Poppins SemiBold" w:hAnsi="Poppins SemiBold"/>
          <w:b/>
          <w:color w:val="4472C4"/>
          <w:sz w:val="24"/>
        </w:rPr>
        <w:t>White House Clarifies Musk’s Statements on Cutting Entitlement Program Spending</w:t>
      </w:r>
    </w:p>
    <w:p w14:paraId="6CD8D325" w14:textId="13B6EAE8" w:rsidR="0091710F" w:rsidRPr="00790955" w:rsidRDefault="52C41F94">
      <w:pPr>
        <w:spacing w:after="240"/>
        <w:rPr>
          <w:rFonts w:ascii="Poppins" w:hAnsi="Poppins" w:cs="Poppins"/>
          <w:sz w:val="20"/>
          <w:szCs w:val="20"/>
        </w:rPr>
      </w:pPr>
      <w:r w:rsidRPr="00790955">
        <w:rPr>
          <w:rFonts w:ascii="Poppins" w:hAnsi="Poppins" w:cs="Poppins"/>
          <w:sz w:val="20"/>
          <w:szCs w:val="20"/>
        </w:rPr>
        <w:t xml:space="preserve">White House advisor Elon Musk said in an </w:t>
      </w:r>
      <w:hyperlink r:id="rId21">
        <w:r w:rsidRPr="00790955">
          <w:rPr>
            <w:rFonts w:ascii="Poppins" w:hAnsi="Poppins" w:cs="Poppins"/>
            <w:color w:val="2F5496" w:themeColor="accent1" w:themeShade="BF"/>
            <w:sz w:val="20"/>
            <w:szCs w:val="20"/>
            <w:u w:val="single"/>
          </w:rPr>
          <w:t>interview</w:t>
        </w:r>
      </w:hyperlink>
      <w:r w:rsidRPr="00790955">
        <w:rPr>
          <w:rFonts w:ascii="Poppins" w:hAnsi="Poppins" w:cs="Poppins"/>
          <w:sz w:val="20"/>
          <w:szCs w:val="20"/>
        </w:rPr>
        <w:t xml:space="preserve"> with Fox Business that “The waste and fraud in entitlement spending, which is all of the, [sic] which is most of the federal spending is entitlements [sic]. That’s like the big one to eliminate. That’s the half trillion maybe 600 billion a year.” Musk went on to claim that entitlement funds were being spent on illegal immigrants who Democrats had turned into illegal voters. Many news organizations, </w:t>
      </w:r>
      <w:hyperlink r:id="rId22">
        <w:r w:rsidRPr="00790955">
          <w:rPr>
            <w:rFonts w:ascii="Poppins" w:hAnsi="Poppins" w:cs="Poppins"/>
            <w:color w:val="2F5496" w:themeColor="accent1" w:themeShade="BF"/>
            <w:sz w:val="20"/>
            <w:szCs w:val="20"/>
            <w:u w:val="single"/>
          </w:rPr>
          <w:t>including CNN</w:t>
        </w:r>
      </w:hyperlink>
      <w:r w:rsidRPr="00790955">
        <w:rPr>
          <w:rFonts w:ascii="Poppins" w:hAnsi="Poppins" w:cs="Poppins"/>
          <w:sz w:val="20"/>
          <w:szCs w:val="20"/>
        </w:rPr>
        <w:t xml:space="preserve">, reported his statement and quoted experts who interpreted Musk’s statements to mean that he intended to reduce spending on Social Security, Medicare, and Medicaid. The White House </w:t>
      </w:r>
      <w:hyperlink r:id="rId23">
        <w:r w:rsidRPr="00790955">
          <w:rPr>
            <w:rFonts w:ascii="Poppins" w:hAnsi="Poppins" w:cs="Poppins"/>
            <w:color w:val="2F5496" w:themeColor="accent1" w:themeShade="BF"/>
            <w:sz w:val="20"/>
            <w:szCs w:val="20"/>
            <w:u w:val="single"/>
          </w:rPr>
          <w:t>statement</w:t>
        </w:r>
      </w:hyperlink>
      <w:r w:rsidRPr="00790955">
        <w:rPr>
          <w:rFonts w:ascii="Poppins" w:hAnsi="Poppins" w:cs="Poppins"/>
          <w:sz w:val="20"/>
          <w:szCs w:val="20"/>
        </w:rPr>
        <w:t xml:space="preserve"> reiterated President Trump’s statements on X (formerly Twitter) that he would not cut Social Security, Medicare, and Medicaid. Additionally, the White House claimed Musk’s statements were directed at eliminating waste, fraud, and abuse in federal spending. In the announcement, the White House claimed the media was lying to the American people, released Musk’s official quote, and outlined facts related to fraud and abuse in federal spending on Medicare, Medicaid, and Social Security. </w:t>
      </w:r>
    </w:p>
    <w:p w14:paraId="1B1FAE92" w14:textId="77777777" w:rsidR="52C41F94" w:rsidRDefault="52C41F94" w:rsidP="52C41F94">
      <w:pPr>
        <w:spacing w:before="120" w:after="120"/>
      </w:pPr>
      <w:r w:rsidRPr="52C41F94">
        <w:rPr>
          <w:rFonts w:ascii="Poppins SemiBold" w:hAnsi="Poppins SemiBold"/>
          <w:b/>
          <w:bCs/>
          <w:color w:val="4472C4" w:themeColor="accent1"/>
          <w:sz w:val="24"/>
          <w:szCs w:val="24"/>
        </w:rPr>
        <w:t>Trump Withdraws Nomination of David Weldon as CDC Director Hours Before Senate Hearing</w:t>
      </w:r>
    </w:p>
    <w:p w14:paraId="5F85213C" w14:textId="064D152E" w:rsidR="52C41F94" w:rsidRPr="00790955" w:rsidRDefault="52C41F94" w:rsidP="52C41F94">
      <w:pPr>
        <w:spacing w:after="240"/>
        <w:rPr>
          <w:rFonts w:ascii="Poppins SemiBold" w:hAnsi="Poppins SemiBold"/>
          <w:b/>
          <w:bCs/>
          <w:color w:val="4471C4"/>
          <w:sz w:val="28"/>
          <w:szCs w:val="28"/>
        </w:rPr>
      </w:pPr>
      <w:r w:rsidRPr="00790955">
        <w:rPr>
          <w:rFonts w:ascii="Poppins" w:hAnsi="Poppins"/>
          <w:sz w:val="20"/>
          <w:szCs w:val="20"/>
        </w:rPr>
        <w:lastRenderedPageBreak/>
        <w:t xml:space="preserve">The White House </w:t>
      </w:r>
      <w:hyperlink r:id="rId24">
        <w:r w:rsidRPr="00790955">
          <w:rPr>
            <w:rFonts w:ascii="Poppins" w:hAnsi="Poppins"/>
            <w:color w:val="2F5496" w:themeColor="accent1" w:themeShade="BF"/>
            <w:sz w:val="20"/>
            <w:szCs w:val="20"/>
            <w:u w:val="single"/>
          </w:rPr>
          <w:t>withdrew</w:t>
        </w:r>
      </w:hyperlink>
      <w:r w:rsidRPr="00790955">
        <w:rPr>
          <w:rFonts w:ascii="Poppins" w:hAnsi="Poppins"/>
          <w:sz w:val="20"/>
          <w:szCs w:val="20"/>
        </w:rPr>
        <w:t xml:space="preserve"> the nomination of former Representative Dave Weldon to serve as the Director of the Centers for Disease Control and Prevention (CDC) hours before he was set to testify before the Senate Health, Education, Labor, and Pensions (HELP) Committee. In response, the Committee </w:t>
      </w:r>
      <w:hyperlink r:id="rId25">
        <w:r w:rsidRPr="00790955">
          <w:rPr>
            <w:rFonts w:ascii="Poppins" w:hAnsi="Poppins"/>
            <w:color w:val="2F5496" w:themeColor="accent1" w:themeShade="BF"/>
            <w:sz w:val="20"/>
            <w:szCs w:val="20"/>
            <w:u w:val="single"/>
          </w:rPr>
          <w:t>cancelled</w:t>
        </w:r>
      </w:hyperlink>
      <w:r w:rsidRPr="00790955">
        <w:rPr>
          <w:rFonts w:ascii="Poppins" w:hAnsi="Poppins"/>
          <w:sz w:val="20"/>
          <w:szCs w:val="20"/>
        </w:rPr>
        <w:t xml:space="preserve"> the confirmation hearing. Weldon’s nomination was pulled back due, in part, to his beliefs that vaccines cause autism. Throughout his tenure in Congress between 1995 and 2009, he was one of the sponsors of a bill that would have banned mercury from vaccine production. Reporting indicates that there was growing concern among Senators that his nomination was unlikely to succeed, and that Department of Health and Human Services (HHS) Secretary Kennedy may have believed that Weldon was unprepared for the role.</w:t>
      </w:r>
    </w:p>
    <w:p w14:paraId="14BEB6F1" w14:textId="77777777" w:rsidR="0091710F" w:rsidRDefault="00000000">
      <w:pPr>
        <w:spacing w:before="120" w:after="120"/>
      </w:pPr>
      <w:r>
        <w:rPr>
          <w:rFonts w:ascii="Poppins SemiBold" w:hAnsi="Poppins SemiBold"/>
          <w:b/>
          <w:color w:val="4472C4"/>
          <w:sz w:val="24"/>
        </w:rPr>
        <w:t>CMS Innovation Center Announces Realignment with Statutory Authority</w:t>
      </w:r>
    </w:p>
    <w:p w14:paraId="10AAEEBC" w14:textId="11470C3F" w:rsidR="0091710F" w:rsidRPr="00790955" w:rsidRDefault="6AF7087D">
      <w:pPr>
        <w:spacing w:after="240"/>
        <w:rPr>
          <w:sz w:val="20"/>
          <w:szCs w:val="20"/>
        </w:rPr>
      </w:pPr>
      <w:r w:rsidRPr="00790955">
        <w:rPr>
          <w:rFonts w:ascii="Poppins" w:hAnsi="Poppins"/>
          <w:sz w:val="20"/>
          <w:szCs w:val="20"/>
        </w:rPr>
        <w:t xml:space="preserve">The Centers for Medicare and Medicaid Services (CMS) Innovation Center </w:t>
      </w:r>
      <w:hyperlink r:id="rId26">
        <w:r w:rsidRPr="00790955">
          <w:rPr>
            <w:rFonts w:ascii="Poppins" w:hAnsi="Poppins"/>
            <w:color w:val="2F5496" w:themeColor="accent1" w:themeShade="BF"/>
            <w:sz w:val="20"/>
            <w:szCs w:val="20"/>
            <w:u w:val="single"/>
          </w:rPr>
          <w:t>reaffirmed</w:t>
        </w:r>
      </w:hyperlink>
      <w:r w:rsidRPr="00790955">
        <w:rPr>
          <w:rFonts w:ascii="Poppins" w:hAnsi="Poppins"/>
          <w:sz w:val="20"/>
          <w:szCs w:val="20"/>
        </w:rPr>
        <w:t xml:space="preserve"> its commitment to testing and scaling innovative payment models that reduce program spending while maintaining or improving quality of care. The Innovation Center announced that they have completed a comprehensive review of the Center’s portfolio of models and will be </w:t>
      </w:r>
      <w:hyperlink r:id="rId27">
        <w:r w:rsidRPr="00790955">
          <w:rPr>
            <w:rFonts w:ascii="Poppins" w:hAnsi="Poppins"/>
            <w:color w:val="2F5496" w:themeColor="accent1" w:themeShade="BF"/>
            <w:sz w:val="20"/>
            <w:szCs w:val="20"/>
            <w:u w:val="single"/>
          </w:rPr>
          <w:t>concluding multiple models</w:t>
        </w:r>
      </w:hyperlink>
      <w:r w:rsidRPr="00790955">
        <w:rPr>
          <w:rFonts w:ascii="Poppins" w:hAnsi="Poppins"/>
          <w:sz w:val="20"/>
          <w:szCs w:val="20"/>
        </w:rPr>
        <w:t xml:space="preserve"> earlier than originally scheduled on December 31, 2025. The Maryland Total Cost of Care, Primary Care First, ESRD Treatment Choices, and Making Care Primary models were selected for early termination. CMS is also considering reducing the size of the Integrated Care for Kids model. Finally, the Innovation Center will no longer pursue the implementation of the Accelerating Clinical Evidence and Medicare $2 Drug List models which were announced in late 2023 and 2024, respectively. The selected model terminations are expected to result in savings of almost 750 million dollars. Participants in models that are being terminated early will have the opportunity to transition to other models. Additionally, the Innovation Center will be releasing a new strategy focused on disease prevention, information transparency, and promoting choice and competition.</w:t>
      </w:r>
    </w:p>
    <w:p w14:paraId="192A541B" w14:textId="77777777" w:rsidR="0091710F" w:rsidRDefault="00000000">
      <w:pPr>
        <w:spacing w:before="120" w:after="120"/>
      </w:pPr>
      <w:r>
        <w:rPr>
          <w:rFonts w:ascii="Poppins SemiBold" w:hAnsi="Poppins SemiBold"/>
          <w:b/>
          <w:color w:val="4472C4"/>
          <w:sz w:val="24"/>
        </w:rPr>
        <w:t>MACPAC Releases Report to Congress</w:t>
      </w:r>
    </w:p>
    <w:p w14:paraId="0A85F5D1" w14:textId="77777777" w:rsidR="00790955" w:rsidRPr="00790955" w:rsidRDefault="52C41F94" w:rsidP="3744DFEC">
      <w:pPr>
        <w:spacing w:after="240"/>
        <w:rPr>
          <w:rFonts w:ascii="Poppins" w:hAnsi="Poppins" w:cs="Poppins"/>
          <w:sz w:val="20"/>
          <w:szCs w:val="20"/>
        </w:rPr>
      </w:pPr>
      <w:r w:rsidRPr="00790955">
        <w:rPr>
          <w:rFonts w:ascii="Poppins" w:hAnsi="Poppins" w:cs="Poppins"/>
          <w:sz w:val="20"/>
          <w:szCs w:val="20"/>
        </w:rPr>
        <w:t xml:space="preserve">The Medicaid and Chip Payment Advisory Commission (MACPAC) </w:t>
      </w:r>
      <w:hyperlink r:id="rId28">
        <w:r w:rsidRPr="00790955">
          <w:rPr>
            <w:rFonts w:ascii="Poppins" w:hAnsi="Poppins" w:cs="Poppins"/>
            <w:color w:val="2F5496" w:themeColor="accent1" w:themeShade="BF"/>
            <w:sz w:val="20"/>
            <w:szCs w:val="20"/>
            <w:u w:val="single"/>
          </w:rPr>
          <w:t>released</w:t>
        </w:r>
      </w:hyperlink>
      <w:r w:rsidRPr="00790955">
        <w:rPr>
          <w:rFonts w:ascii="Poppins" w:hAnsi="Poppins" w:cs="Poppins"/>
          <w:sz w:val="20"/>
          <w:szCs w:val="20"/>
        </w:rPr>
        <w:t xml:space="preserve"> its Report to Congress for March 2025. The report includes three chapters highlighting the commission’s most recent work. Chapter one examines the role of external quality review in managed care oversight and accountability, offering three recommendations to improve the review process. Chapter two outlines the accessibility of home- and community-based services (HCBS) and recommends one policy change to promote timely access. Chapter three explores the federal Medicaid 1915 waiver authorities and requirements for HCBS, presenting a recommendation to reduce state and federal government administrative burden. In the report, MACPAC reinforced its commitment to continue to investigate, analyze, and provide recommendations to improve HCBS level of care assessments, person-centered planning </w:t>
      </w:r>
      <w:r w:rsidRPr="00790955">
        <w:rPr>
          <w:rFonts w:ascii="Poppins" w:hAnsi="Poppins" w:cs="Poppins"/>
          <w:sz w:val="20"/>
          <w:szCs w:val="20"/>
        </w:rPr>
        <w:lastRenderedPageBreak/>
        <w:t>processes, and utilization among older Americans and Americans with intellectual and developmental disabilities.</w:t>
      </w:r>
    </w:p>
    <w:p w14:paraId="4E9ED9A3" w14:textId="4A8C7C36" w:rsidR="0091710F" w:rsidRPr="00790955" w:rsidRDefault="00000000" w:rsidP="3744DFEC">
      <w:pPr>
        <w:spacing w:after="240"/>
      </w:pPr>
      <w:r>
        <w:br/>
      </w:r>
      <w:r w:rsidR="3744DFEC" w:rsidRPr="3744DFEC">
        <w:rPr>
          <w:rFonts w:ascii="Poppins SemiBold" w:hAnsi="Poppins SemiBold"/>
          <w:b/>
          <w:bCs/>
          <w:color w:val="4471C4"/>
          <w:sz w:val="32"/>
          <w:szCs w:val="32"/>
        </w:rPr>
        <w:t>What's on Tap</w:t>
      </w:r>
    </w:p>
    <w:p w14:paraId="4BD86446" w14:textId="77777777" w:rsidR="00790955" w:rsidRPr="00790955" w:rsidRDefault="00790955" w:rsidP="00790955">
      <w:pPr>
        <w:tabs>
          <w:tab w:val="left" w:pos="5397"/>
        </w:tabs>
        <w:spacing w:after="0"/>
        <w:rPr>
          <w:rFonts w:ascii="Poppins" w:eastAsia="Calibri" w:hAnsi="Poppins" w:cs="Poppins"/>
          <w:sz w:val="20"/>
          <w:szCs w:val="20"/>
        </w:rPr>
      </w:pPr>
      <w:r w:rsidRPr="00790955">
        <w:rPr>
          <w:rFonts w:ascii="Poppins" w:eastAsia="Calibri" w:hAnsi="Poppins" w:cs="Poppins"/>
          <w:sz w:val="20"/>
          <w:szCs w:val="20"/>
        </w:rPr>
        <w:t xml:space="preserve">Over the weekend, President Trump </w:t>
      </w:r>
      <w:hyperlink r:id="rId29" w:history="1">
        <w:r w:rsidRPr="00790955">
          <w:rPr>
            <w:rStyle w:val="Hyperlink"/>
            <w:rFonts w:ascii="Poppins" w:eastAsia="Calibri" w:hAnsi="Poppins" w:cs="Poppins"/>
            <w:sz w:val="20"/>
            <w:szCs w:val="20"/>
          </w:rPr>
          <w:t>signed</w:t>
        </w:r>
      </w:hyperlink>
      <w:r w:rsidRPr="00790955">
        <w:rPr>
          <w:rFonts w:ascii="Poppins" w:eastAsia="Calibri" w:hAnsi="Poppins" w:cs="Poppins"/>
          <w:sz w:val="20"/>
          <w:szCs w:val="20"/>
        </w:rPr>
        <w:t xml:space="preserve"> into law a six-month funding bill to avoid a government shutdown. Senate Republicans were joined by ten Democrats in achieving the 60-vote threshold needed to invoke cloture and bypass a Democratic filibuster. Senate Minority Leader Chuck Schumer (D-NY) announced he was breaking with most House and Senate Democrats in voting for the continuing resolution (CR) only one day after stating the funding resolution did not have the votes to pass. The CR will keep the government funded through September 30</w:t>
      </w:r>
      <w:r w:rsidRPr="00790955">
        <w:rPr>
          <w:rFonts w:ascii="Poppins" w:eastAsia="Calibri" w:hAnsi="Poppins" w:cs="Poppins"/>
          <w:sz w:val="20"/>
          <w:szCs w:val="20"/>
          <w:vertAlign w:val="superscript"/>
        </w:rPr>
        <w:t>th</w:t>
      </w:r>
      <w:r w:rsidRPr="00790955">
        <w:rPr>
          <w:rFonts w:ascii="Poppins" w:eastAsia="Calibri" w:hAnsi="Poppins" w:cs="Poppins"/>
          <w:sz w:val="20"/>
          <w:szCs w:val="20"/>
        </w:rPr>
        <w:t xml:space="preserve">, the end of the current fiscal year. Although some key healthcare flexibilities were extended like telehealth, Congress opted out of advancing a larger healthcare package </w:t>
      </w:r>
      <w:hyperlink r:id="rId30" w:history="1">
        <w:r w:rsidRPr="00790955">
          <w:rPr>
            <w:rStyle w:val="Hyperlink"/>
            <w:rFonts w:ascii="Poppins" w:eastAsia="Calibri" w:hAnsi="Poppins" w:cs="Poppins"/>
            <w:sz w:val="20"/>
            <w:szCs w:val="20"/>
          </w:rPr>
          <w:t>despite efforts</w:t>
        </w:r>
      </w:hyperlink>
      <w:r w:rsidRPr="00790955">
        <w:rPr>
          <w:rFonts w:ascii="Poppins" w:eastAsia="Calibri" w:hAnsi="Poppins" w:cs="Poppins"/>
          <w:sz w:val="20"/>
          <w:szCs w:val="20"/>
        </w:rPr>
        <w:t xml:space="preserve"> from Senator Ron Wyden (D-OR) to include one in the CR. With the government now funded for the next six months, lawmakers are expected to shift their focus back to reconciliation proceedings once they return from recess next week.</w:t>
      </w:r>
    </w:p>
    <w:p w14:paraId="478BB96E" w14:textId="77777777" w:rsidR="00790955" w:rsidRPr="00790955" w:rsidRDefault="00790955" w:rsidP="00790955">
      <w:pPr>
        <w:tabs>
          <w:tab w:val="left" w:pos="5397"/>
        </w:tabs>
        <w:spacing w:after="0"/>
        <w:rPr>
          <w:rFonts w:ascii="Poppins" w:eastAsia="Calibri" w:hAnsi="Poppins" w:cs="Poppins"/>
          <w:sz w:val="20"/>
          <w:szCs w:val="20"/>
        </w:rPr>
      </w:pPr>
    </w:p>
    <w:p w14:paraId="56558F4B" w14:textId="77777777" w:rsidR="00790955" w:rsidRPr="00790955" w:rsidRDefault="00790955" w:rsidP="00790955">
      <w:pPr>
        <w:tabs>
          <w:tab w:val="left" w:pos="5397"/>
        </w:tabs>
        <w:spacing w:after="0"/>
        <w:rPr>
          <w:rFonts w:ascii="Poppins" w:eastAsia="Calibri" w:hAnsi="Poppins" w:cs="Poppins"/>
          <w:sz w:val="20"/>
          <w:szCs w:val="20"/>
        </w:rPr>
      </w:pPr>
      <w:r w:rsidRPr="00790955">
        <w:rPr>
          <w:rFonts w:ascii="Poppins" w:eastAsia="Calibri" w:hAnsi="Poppins" w:cs="Poppins"/>
          <w:sz w:val="20"/>
          <w:szCs w:val="20"/>
        </w:rPr>
        <w:t xml:space="preserve">In parallel to last week’s funding negotiations, the Senate Finance Committee </w:t>
      </w:r>
      <w:hyperlink r:id="rId31" w:history="1">
        <w:r w:rsidRPr="00790955">
          <w:rPr>
            <w:rStyle w:val="Hyperlink"/>
            <w:rFonts w:ascii="Poppins" w:eastAsia="Calibri" w:hAnsi="Poppins" w:cs="Poppins"/>
            <w:sz w:val="20"/>
            <w:szCs w:val="20"/>
          </w:rPr>
          <w:t>held a hearing</w:t>
        </w:r>
      </w:hyperlink>
      <w:r w:rsidRPr="00790955">
        <w:rPr>
          <w:rFonts w:ascii="Poppins" w:eastAsia="Calibri" w:hAnsi="Poppins" w:cs="Poppins"/>
          <w:sz w:val="20"/>
          <w:szCs w:val="20"/>
        </w:rPr>
        <w:t xml:space="preserve"> for the nomination of Dr. Mehmet Oz to serve as the administrator of the Centers for Medicare and Medicaid Services (CMS). Senate Republicans praised Dr. Oz’s approach to modernizing healthcare in the US and his qualifications a surgeon, while Senate Democrats expressed concern over his financial stakes in healthcare companies, the promotion of unproven health products and whether he supports potential cuts to the Medicaid program that House Republicans have proposed. In his hearing, Oz </w:t>
      </w:r>
      <w:hyperlink r:id="rId32" w:history="1">
        <w:r w:rsidRPr="00790955">
          <w:rPr>
            <w:rStyle w:val="Hyperlink"/>
            <w:rFonts w:ascii="Poppins" w:eastAsia="Calibri" w:hAnsi="Poppins" w:cs="Poppins"/>
            <w:sz w:val="20"/>
            <w:szCs w:val="20"/>
          </w:rPr>
          <w:t>said</w:t>
        </w:r>
      </w:hyperlink>
      <w:r w:rsidRPr="00790955">
        <w:rPr>
          <w:rFonts w:ascii="Poppins" w:eastAsia="Calibri" w:hAnsi="Poppins" w:cs="Poppins"/>
          <w:sz w:val="20"/>
          <w:szCs w:val="20"/>
        </w:rPr>
        <w:t xml:space="preserve"> he supported Medicaid work requirements, but indicated he is open to alternative qualifications like enrollment in educational programs.</w:t>
      </w:r>
    </w:p>
    <w:p w14:paraId="2B672463" w14:textId="77777777" w:rsidR="00790955" w:rsidRPr="00790955" w:rsidRDefault="00790955" w:rsidP="00790955">
      <w:pPr>
        <w:tabs>
          <w:tab w:val="left" w:pos="5397"/>
        </w:tabs>
        <w:spacing w:after="0"/>
        <w:rPr>
          <w:rFonts w:ascii="Poppins" w:eastAsia="Calibri" w:hAnsi="Poppins" w:cs="Poppins"/>
          <w:sz w:val="20"/>
          <w:szCs w:val="20"/>
        </w:rPr>
      </w:pPr>
    </w:p>
    <w:p w14:paraId="5562D6D4" w14:textId="6C522F88" w:rsidR="00790955" w:rsidRPr="00790955" w:rsidRDefault="00790955" w:rsidP="00790955">
      <w:pPr>
        <w:tabs>
          <w:tab w:val="left" w:pos="5397"/>
        </w:tabs>
        <w:spacing w:after="0"/>
        <w:rPr>
          <w:rFonts w:ascii="Poppins" w:eastAsia="Calibri" w:hAnsi="Poppins" w:cs="Poppins"/>
          <w:sz w:val="20"/>
          <w:szCs w:val="20"/>
        </w:rPr>
      </w:pPr>
      <w:r w:rsidRPr="00790955">
        <w:rPr>
          <w:rFonts w:ascii="Poppins" w:eastAsia="Calibri" w:hAnsi="Poppins" w:cs="Poppins"/>
          <w:sz w:val="20"/>
          <w:szCs w:val="20"/>
        </w:rPr>
        <w:t xml:space="preserve">President Trump signed an executive order on Friday </w:t>
      </w:r>
      <w:hyperlink r:id="rId33" w:history="1">
        <w:r w:rsidRPr="00790955">
          <w:rPr>
            <w:rStyle w:val="Hyperlink"/>
            <w:rFonts w:ascii="Poppins" w:eastAsia="Calibri" w:hAnsi="Poppins" w:cs="Poppins"/>
            <w:sz w:val="20"/>
            <w:szCs w:val="20"/>
          </w:rPr>
          <w:t>aiming to dismantle</w:t>
        </w:r>
      </w:hyperlink>
      <w:r w:rsidRPr="00790955">
        <w:rPr>
          <w:rFonts w:ascii="Poppins" w:eastAsia="Calibri" w:hAnsi="Poppins" w:cs="Poppins"/>
          <w:sz w:val="20"/>
          <w:szCs w:val="20"/>
        </w:rPr>
        <w:t xml:space="preserve"> seven federal agencies. He directed these agencies to be eliminated to the maximum extent consistent with applicable law and ordered heads of these institutions to submit a report to the Office of Management and Budget (OMB) confirming compliance within seven days. While none of the seven agencies the president is seeking to eliminate directly impact the healthcare industry, the President has directed federal entities like the Interagency Council on Homelessness and the Federal Mediation and Conciliation Service to submit plans for its dismantling. This executive order comes on the heels of Elon Musk’s Department of Government Efficiency (DOGE) continuing efforts to significantly reduce the federal workforce and overall government spending – efforts that have received </w:t>
      </w:r>
      <w:hyperlink r:id="rId34" w:history="1">
        <w:r w:rsidRPr="00790955">
          <w:rPr>
            <w:rStyle w:val="Hyperlink"/>
            <w:rFonts w:ascii="Poppins" w:eastAsia="Calibri" w:hAnsi="Poppins" w:cs="Poppins"/>
            <w:sz w:val="20"/>
            <w:szCs w:val="20"/>
          </w:rPr>
          <w:t>significant legal challenges</w:t>
        </w:r>
      </w:hyperlink>
      <w:r w:rsidRPr="00790955">
        <w:rPr>
          <w:rFonts w:ascii="Poppins" w:eastAsia="Calibri" w:hAnsi="Poppins" w:cs="Poppins"/>
          <w:sz w:val="20"/>
          <w:szCs w:val="20"/>
        </w:rPr>
        <w:t xml:space="preserve"> from federal judges across the country. </w:t>
      </w:r>
    </w:p>
    <w:p w14:paraId="0931B5B8" w14:textId="7383891F" w:rsidR="0091710F" w:rsidRDefault="00000000" w:rsidP="3744DFEC">
      <w:pPr>
        <w:spacing w:after="240"/>
      </w:pPr>
      <w:r>
        <w:lastRenderedPageBreak/>
        <w:br/>
      </w:r>
      <w:r w:rsidR="3744DFEC" w:rsidRPr="3744DFEC">
        <w:rPr>
          <w:rFonts w:ascii="Poppins SemiBold" w:hAnsi="Poppins SemiBold"/>
          <w:b/>
          <w:bCs/>
          <w:color w:val="4471C4"/>
          <w:sz w:val="32"/>
          <w:szCs w:val="32"/>
        </w:rPr>
        <w:t>Upcoming Events</w:t>
      </w:r>
    </w:p>
    <w:p w14:paraId="75A0FA12" w14:textId="52AF3D90" w:rsidR="6AF7087D" w:rsidRPr="00790955" w:rsidRDefault="6AF7087D" w:rsidP="00790955">
      <w:pPr>
        <w:spacing w:after="0"/>
        <w:rPr>
          <w:rFonts w:ascii="Poppins" w:eastAsia="Poppins" w:hAnsi="Poppins" w:cs="Poppins"/>
          <w:color w:val="000000" w:themeColor="text1"/>
        </w:rPr>
      </w:pPr>
      <w:r w:rsidRPr="6AF7087D">
        <w:rPr>
          <w:rFonts w:ascii="Poppins" w:eastAsia="Poppins" w:hAnsi="Poppins" w:cs="Poppins"/>
          <w:color w:val="000000" w:themeColor="text1"/>
        </w:rPr>
        <w:t xml:space="preserve">On Wednesday, Health Affairs </w:t>
      </w:r>
      <w:r w:rsidR="00790955">
        <w:rPr>
          <w:rFonts w:ascii="Poppins" w:eastAsia="Poppins" w:hAnsi="Poppins" w:cs="Poppins"/>
          <w:color w:val="000000" w:themeColor="text1"/>
        </w:rPr>
        <w:t xml:space="preserve">will host </w:t>
      </w:r>
      <w:hyperlink r:id="rId35">
        <w:r w:rsidRPr="6AF7087D">
          <w:rPr>
            <w:rStyle w:val="Hyperlink"/>
            <w:rFonts w:ascii="Poppins" w:eastAsia="Poppins" w:hAnsi="Poppins" w:cs="Poppins"/>
          </w:rPr>
          <w:t>an event on ‘Medicaid’s Uncertain Future’</w:t>
        </w:r>
      </w:hyperlink>
      <w:r w:rsidRPr="6AF7087D">
        <w:rPr>
          <w:rFonts w:ascii="Poppins" w:eastAsia="Poppins" w:hAnsi="Poppins" w:cs="Poppins"/>
          <w:color w:val="000000" w:themeColor="text1"/>
        </w:rPr>
        <w:t>.</w:t>
      </w:r>
    </w:p>
    <w:sectPr w:rsidR="6AF7087D" w:rsidRPr="0079095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86960" w14:textId="77777777" w:rsidR="008C2ABC" w:rsidRDefault="008C2ABC" w:rsidP="00715EA6">
      <w:pPr>
        <w:spacing w:after="0" w:line="240" w:lineRule="auto"/>
      </w:pPr>
      <w:r>
        <w:separator/>
      </w:r>
    </w:p>
  </w:endnote>
  <w:endnote w:type="continuationSeparator" w:id="0">
    <w:p w14:paraId="411FB87F" w14:textId="77777777" w:rsidR="008C2ABC" w:rsidRDefault="008C2ABC"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A98CA41">
            <v:rect id="Rectangle 2"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e6eb6" stroked="f" strokeweight="1pt" w14:anchorId="1939F7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v:fill opacity="39321f"/>
              <v:textbox>
                <w:txbxContent>
                  <w:p w:rsidRPr="00715EA6" w:rsidR="00715EA6" w:rsidP="00715EA6" w:rsidRDefault="00715EA6" w14:paraId="2626F8AC" w14:textId="77777777">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2DF76" w14:textId="77777777" w:rsidR="008C2ABC" w:rsidRDefault="008C2ABC" w:rsidP="00715EA6">
      <w:pPr>
        <w:spacing w:after="0" w:line="240" w:lineRule="auto"/>
      </w:pPr>
      <w:r>
        <w:separator/>
      </w:r>
    </w:p>
  </w:footnote>
  <w:footnote w:type="continuationSeparator" w:id="0">
    <w:p w14:paraId="0831E67D" w14:textId="77777777" w:rsidR="008C2ABC" w:rsidRDefault="008C2ABC" w:rsidP="00715E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140A74"/>
    <w:rsid w:val="00236A3B"/>
    <w:rsid w:val="003B78CB"/>
    <w:rsid w:val="004F23F4"/>
    <w:rsid w:val="0053438E"/>
    <w:rsid w:val="005C4549"/>
    <w:rsid w:val="00715EA6"/>
    <w:rsid w:val="00790955"/>
    <w:rsid w:val="008C2ABC"/>
    <w:rsid w:val="0091710F"/>
    <w:rsid w:val="00A7138F"/>
    <w:rsid w:val="00A76DD2"/>
    <w:rsid w:val="00B92207"/>
    <w:rsid w:val="00CF006A"/>
    <w:rsid w:val="00E30E4D"/>
    <w:rsid w:val="079C5E5C"/>
    <w:rsid w:val="2565C836"/>
    <w:rsid w:val="35EDBA15"/>
    <w:rsid w:val="3744DFEC"/>
    <w:rsid w:val="3DD66EBC"/>
    <w:rsid w:val="4312D2F0"/>
    <w:rsid w:val="52C41F94"/>
    <w:rsid w:val="53DF4AA9"/>
    <w:rsid w:val="6AF7087D"/>
    <w:rsid w:val="7075FAD3"/>
    <w:rsid w:val="71320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ff.org/medicaid/issue-brief/congressional-district-interactive-map-medicaid-enrollment-by-eligibility-group/" TargetMode="External"/><Relationship Id="rId18" Type="http://schemas.openxmlformats.org/officeDocument/2006/relationships/hyperlink" Target="https://www.finance.senate.gov/hearings/hearing-to-consider-the-nomination-of-mehmet-oz-of-pennsylvania-to-be-administrator-of-the-centers-for-medicare-and-medicaid-services-vice-chiquita-brooks-lasure-resigned" TargetMode="External"/><Relationship Id="rId26" Type="http://schemas.openxmlformats.org/officeDocument/2006/relationships/hyperlink" Target="https://www.cms.gov/newsroom/press-releases/statement-cms-innovation-center-aligning-portfolio-statutory-obligation" TargetMode="External"/><Relationship Id="rId21" Type="http://schemas.openxmlformats.org/officeDocument/2006/relationships/hyperlink" Target="https://www.foxbusiness.com/video/6369857710112" TargetMode="External"/><Relationship Id="rId34" Type="http://schemas.openxmlformats.org/officeDocument/2006/relationships/hyperlink" Target="https://apnews.com/article/social-security-lawsuit-trump-doge-musk-4ecd670b2dacb46ee139cb20471a3932" TargetMode="External"/><Relationship Id="rId7" Type="http://schemas.openxmlformats.org/officeDocument/2006/relationships/hyperlink" Target="https://www.disabilityscoop.com/2025/03/12/as-education-department-slashes-nearly-half-its-staff-special-ed-worries-mount/31350/" TargetMode="External"/><Relationship Id="rId12" Type="http://schemas.openxmlformats.org/officeDocument/2006/relationships/hyperlink" Target="https://ldi.upenn.edu/our-work/research-updates/research-brief-medicare-advantage-special-needs-plans-linked-to-use-of-inferior-hospice-care/" TargetMode="External"/><Relationship Id="rId17" Type="http://schemas.openxmlformats.org/officeDocument/2006/relationships/hyperlink" Target="https://healthsperien.com/Documents/March_MedPACSummary_3.12.25.pdf" TargetMode="External"/><Relationship Id="rId25" Type="http://schemas.openxmlformats.org/officeDocument/2006/relationships/hyperlink" Target="https://www.help.senate.gov/hearings/nomination-of-david-weldon-to-serve-as-director-of-the-centers-for-disease-control-and-prevention" TargetMode="External"/><Relationship Id="rId33" Type="http://schemas.openxmlformats.org/officeDocument/2006/relationships/hyperlink" Target="https://thehill.com/homenews/administration/5196704-trump-executive-order-federal-agencies-eliminate/"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medpac.gov/meeting/march-6-7-2025/" TargetMode="External"/><Relationship Id="rId20" Type="http://schemas.openxmlformats.org/officeDocument/2006/relationships/hyperlink" Target="https://healthsperien.com/Documents/3.12.25%20Senate_Aging_Hearing.pdf" TargetMode="External"/><Relationship Id="rId29" Type="http://schemas.openxmlformats.org/officeDocument/2006/relationships/hyperlink" Target="https://thehill.com/newsletters/morning-report/5198143-morning-report-democrats-target-trump-but-battle-each-other/"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ed.gov/laws-and-policy/individuals-disabilities/section-504" TargetMode="External"/><Relationship Id="rId24" Type="http://schemas.openxmlformats.org/officeDocument/2006/relationships/hyperlink" Target="https://www.axios.com/2025/03/13/white-house-pulls-cdc-nomination" TargetMode="External"/><Relationship Id="rId32" Type="http://schemas.openxmlformats.org/officeDocument/2006/relationships/hyperlink" Target="https://www.nbcnews.com/health/health-news/dr-oz-avoids-medicaid-cuts-questions-confirmation-hearing-rcna196433"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healthsperien.com/Documents/3.11.25_House_Ways_and_Means_Hearing.pdf" TargetMode="External"/><Relationship Id="rId23" Type="http://schemas.openxmlformats.org/officeDocument/2006/relationships/hyperlink" Target="https://www.whitehouse.gov/articles/2025/03/fact-check-president-trump-will-always-protect-social-security-medicare/" TargetMode="External"/><Relationship Id="rId28" Type="http://schemas.openxmlformats.org/officeDocument/2006/relationships/hyperlink" Target="https://www.macpac.gov/publication/march-2025-report-to-congress-on-medicaid-and-chip/" TargetMode="External"/><Relationship Id="rId36" Type="http://schemas.openxmlformats.org/officeDocument/2006/relationships/footer" Target="footer1.xml"/><Relationship Id="rId10" Type="http://schemas.openxmlformats.org/officeDocument/2006/relationships/hyperlink" Target="https://www.austinchronicle.com/daily/news/2025-03-05/advocates-rally-against-removal-of-disability-rights-at-capitol/" TargetMode="External"/><Relationship Id="rId19" Type="http://schemas.openxmlformats.org/officeDocument/2006/relationships/hyperlink" Target="https://www.aging.senate.gov/hearings/breaking-the-cycle-of-senior-loneliness-strengthening-family-and-community-support" TargetMode="External"/><Relationship Id="rId31" Type="http://schemas.openxmlformats.org/officeDocument/2006/relationships/hyperlink" Target="https://www.finance.senate.gov/hearings/hearing-to-consider-the-nomination-of-mehmet-oz-of-pennsylvania-to-be-administrator-of-the-centers-for-medicare-and-medicaid-services-vice-chiquita-brooks-lasure-resigned" TargetMode="External"/><Relationship Id="rId4" Type="http://schemas.openxmlformats.org/officeDocument/2006/relationships/footnotes" Target="footnotes.xml"/><Relationship Id="rId9" Type="http://schemas.openxmlformats.org/officeDocument/2006/relationships/hyperlink" Target="https://adaptoftexas.org/" TargetMode="External"/><Relationship Id="rId14" Type="http://schemas.openxmlformats.org/officeDocument/2006/relationships/hyperlink" Target="https://waysandmeans.house.gov/event/health-subcommittee-hearing-on-after-the-hospital-ensuring-access-to-quality-post-acute-care/" TargetMode="External"/><Relationship Id="rId22" Type="http://schemas.openxmlformats.org/officeDocument/2006/relationships/hyperlink" Target="https://www.cnn.com/2025/03/11/politics/musk-federal-entitlements-costs/index.html" TargetMode="External"/><Relationship Id="rId27" Type="http://schemas.openxmlformats.org/officeDocument/2006/relationships/hyperlink" Target="https://www.cms.gov/newsroom/fact-sheets/cms-innovation-center-announces-model-portfolio-changes-better-protect-taxpayers-and-help-americans" TargetMode="External"/><Relationship Id="rId30" Type="http://schemas.openxmlformats.org/officeDocument/2006/relationships/hyperlink" Target="https://thehill.com/policy/healthcare/5196027-wyden-sanders-health-package-pbm-blocked/" TargetMode="External"/><Relationship Id="rId35" Type="http://schemas.openxmlformats.org/officeDocument/2006/relationships/hyperlink" Target="https://www.healthaffairs.org/do/10.1377/he20250225.39979/full/" TargetMode="External"/><Relationship Id="rId8" Type="http://schemas.openxmlformats.org/officeDocument/2006/relationships/hyperlink" Target="https://www.ed.gov/laws-and-policy/individuals-disabilities/idea"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3027</Words>
  <Characters>17257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Rachel Jordan</cp:lastModifiedBy>
  <cp:revision>2</cp:revision>
  <dcterms:created xsi:type="dcterms:W3CDTF">2025-03-17T22:08:00Z</dcterms:created>
  <dcterms:modified xsi:type="dcterms:W3CDTF">2025-03-17T22:08:00Z</dcterms:modified>
</cp:coreProperties>
</file>