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642D8CB2" w:rsidR="00715EA6" w:rsidRPr="006C4838" w:rsidRDefault="00715EA6" w:rsidP="008D009D">
      <w:pPr>
        <w:pStyle w:val="Heading1"/>
        <w:spacing w:before="20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1C07">
        <w:rPr>
          <w:rFonts w:ascii="Poppins SemiBold" w:hAnsi="Poppins SemiBold" w:cs="Poppins SemiBold"/>
          <w:b/>
          <w:bCs/>
          <w:noProof/>
          <w:color w:val="4472C4" w:themeColor="accent1"/>
          <w:sz w:val="32"/>
          <w:szCs w:val="32"/>
        </w:rPr>
        <w:t>July 14</w:t>
      </w:r>
      <w:r w:rsidR="00DE3D45">
        <w:rPr>
          <w:rFonts w:ascii="Poppins SemiBold" w:hAnsi="Poppins SemiBold" w:cs="Poppins SemiBold"/>
          <w:b/>
          <w:bCs/>
          <w:noProof/>
          <w:color w:val="4472C4" w:themeColor="accent1"/>
          <w:sz w:val="32"/>
          <w:szCs w:val="32"/>
        </w:rPr>
        <w:t>, 2025</w:t>
      </w:r>
    </w:p>
    <w:p w14:paraId="787BD51A" w14:textId="77777777" w:rsidR="00947EBC" w:rsidRDefault="00947EBC" w:rsidP="00947EBC">
      <w:pPr>
        <w:spacing w:before="200" w:after="0"/>
        <w:rPr>
          <w:rFonts w:ascii="Poppins SemiBold" w:hAnsi="Poppins SemiBold" w:cs="Poppins SemiBold"/>
          <w:b/>
          <w:bCs/>
          <w:color w:val="4472C4" w:themeColor="accent1"/>
          <w:sz w:val="24"/>
          <w:szCs w:val="24"/>
        </w:rPr>
      </w:pPr>
      <w:r w:rsidRPr="00313320">
        <w:rPr>
          <w:rFonts w:ascii="Poppins SemiBold" w:hAnsi="Poppins SemiBold" w:cs="Poppins SemiBold"/>
          <w:b/>
          <w:bCs/>
          <w:color w:val="4472C4" w:themeColor="accent1"/>
          <w:sz w:val="24"/>
          <w:szCs w:val="24"/>
        </w:rPr>
        <w:t>Senate HELP Committee Votes to Advance Susan Monarez for CDC Director</w:t>
      </w:r>
    </w:p>
    <w:p w14:paraId="41AB3976" w14:textId="77777777" w:rsidR="00947EBC" w:rsidRDefault="00947EBC" w:rsidP="00947EBC">
      <w:pPr>
        <w:spacing w:before="200" w:after="0"/>
        <w:rPr>
          <w:rFonts w:ascii="Poppins" w:hAnsi="Poppins" w:cs="Poppins"/>
          <w:sz w:val="20"/>
          <w:szCs w:val="20"/>
        </w:rPr>
      </w:pPr>
      <w:r>
        <w:rPr>
          <w:rFonts w:ascii="Poppins" w:hAnsi="Poppins" w:cs="Poppins"/>
          <w:sz w:val="20"/>
          <w:szCs w:val="20"/>
        </w:rPr>
        <w:t>On</w:t>
      </w:r>
      <w:r w:rsidRPr="00313320">
        <w:rPr>
          <w:rFonts w:ascii="Poppins" w:hAnsi="Poppins" w:cs="Poppins"/>
          <w:sz w:val="20"/>
          <w:szCs w:val="20"/>
        </w:rPr>
        <w:t xml:space="preserve"> July 9, the Senate Health, Education, Labor and Pensions (HELP) Committee </w:t>
      </w:r>
      <w:hyperlink r:id="rId8" w:tooltip="https://healthsperien.us19.list-manage.com/track/click?u=b80803827ec1d826bd16eace6&amp;id=82b73605b1&amp;e=02f9a79650" w:history="1">
        <w:r w:rsidRPr="00313320">
          <w:rPr>
            <w:rStyle w:val="Hyperlink"/>
            <w:rFonts w:ascii="Poppins" w:hAnsi="Poppins" w:cs="Poppins"/>
            <w:sz w:val="20"/>
            <w:szCs w:val="20"/>
          </w:rPr>
          <w:t>advanced</w:t>
        </w:r>
      </w:hyperlink>
      <w:r w:rsidRPr="00313320">
        <w:rPr>
          <w:rFonts w:ascii="Poppins" w:hAnsi="Poppins" w:cs="Poppins"/>
          <w:sz w:val="20"/>
          <w:szCs w:val="20"/>
        </w:rPr>
        <w:t> Dr. Susan Monarez’s nomination for Centers for Disease Control and Prevention (CDC) Director in a 12-11 vote along party lines.</w:t>
      </w:r>
      <w:r w:rsidRPr="00313320">
        <w:rPr>
          <w:rFonts w:ascii="Poppins" w:hAnsi="Poppins" w:cs="Poppins"/>
          <w:sz w:val="20"/>
          <w:szCs w:val="20"/>
        </w:rPr>
        <w:br/>
      </w:r>
      <w:r w:rsidRPr="00313320">
        <w:rPr>
          <w:rFonts w:ascii="Poppins" w:hAnsi="Poppins" w:cs="Poppins"/>
          <w:sz w:val="20"/>
          <w:szCs w:val="20"/>
        </w:rPr>
        <w:br/>
        <w:t xml:space="preserve">Chairman Bill Cassidy (R-LA) opened the vote by reiterating CDC priorities of transparency, modernizing with digital tools, improving health communication, and protecting privacy. Ranking Member Bernie Sanders (I-VT) voted against the nomination, citing Dr. Monarez’s failure to push back against activity and rhetoric from President Trump and Department of Human and Health Services (HHS) Secretary Robert F. Kennedy Jr. that </w:t>
      </w:r>
      <w:r>
        <w:rPr>
          <w:rFonts w:ascii="Poppins" w:hAnsi="Poppins" w:cs="Poppins"/>
          <w:sz w:val="20"/>
          <w:szCs w:val="20"/>
        </w:rPr>
        <w:t>Ranking Member Sanders</w:t>
      </w:r>
      <w:r w:rsidRPr="00313320">
        <w:rPr>
          <w:rFonts w:ascii="Poppins" w:hAnsi="Poppins" w:cs="Poppins"/>
          <w:sz w:val="20"/>
          <w:szCs w:val="20"/>
        </w:rPr>
        <w:t xml:space="preserve"> claims endanger public health. He specifically called out concerns related to HHS funding and personnel cuts, the removal of crucial information from the CDC site</w:t>
      </w:r>
      <w:r>
        <w:rPr>
          <w:rFonts w:ascii="Poppins" w:hAnsi="Poppins" w:cs="Poppins"/>
          <w:sz w:val="20"/>
          <w:szCs w:val="20"/>
        </w:rPr>
        <w:t>s</w:t>
      </w:r>
      <w:r w:rsidRPr="00313320">
        <w:rPr>
          <w:rFonts w:ascii="Poppins" w:hAnsi="Poppins" w:cs="Poppins"/>
          <w:sz w:val="20"/>
          <w:szCs w:val="20"/>
        </w:rPr>
        <w:t>, and Secretary Kennedy’s engagement with vaccine misinformation. Senator Patty Murray (D-WA) additionally pointed to the current measles outbreak and Secretary Kennedy’s recent Advisory Committee on Immunization Practices (ACIP) panel reforms as evidence of the agency’s shortcomings.</w:t>
      </w:r>
      <w:r w:rsidRPr="00313320">
        <w:rPr>
          <w:rFonts w:ascii="Poppins" w:hAnsi="Poppins" w:cs="Poppins"/>
          <w:sz w:val="20"/>
          <w:szCs w:val="20"/>
        </w:rPr>
        <w:br/>
      </w:r>
      <w:r w:rsidRPr="00313320">
        <w:rPr>
          <w:rFonts w:ascii="Poppins" w:hAnsi="Poppins" w:cs="Poppins"/>
          <w:sz w:val="20"/>
          <w:szCs w:val="20"/>
        </w:rPr>
        <w:br/>
        <w:t>Dr. Monarez’s original nomination hearing was </w:t>
      </w:r>
      <w:hyperlink r:id="rId9" w:tooltip="https://healthsperien.us19.list-manage.com/track/click?u=b80803827ec1d826bd16eace6&amp;id=8abdadea8a&amp;e=02f9a79650" w:history="1">
        <w:r w:rsidRPr="00313320">
          <w:rPr>
            <w:rStyle w:val="Hyperlink"/>
            <w:rFonts w:ascii="Poppins" w:hAnsi="Poppins" w:cs="Poppins"/>
            <w:sz w:val="20"/>
            <w:szCs w:val="20"/>
          </w:rPr>
          <w:t>held</w:t>
        </w:r>
      </w:hyperlink>
      <w:r w:rsidRPr="00313320">
        <w:rPr>
          <w:rFonts w:ascii="Poppins" w:hAnsi="Poppins" w:cs="Poppins"/>
          <w:sz w:val="20"/>
          <w:szCs w:val="20"/>
        </w:rPr>
        <w:t> on June 25, during which Dr. Monarez said she would be an “active listener” at ACIP meetings but avoided answering whether she supported Secretary Kennedy’s restructuring of the committee. Previously, Dr. Monarez served as deputy director of HHS subcommittee Advanced Research Projects Agency for Health (ARPA-H).</w:t>
      </w:r>
    </w:p>
    <w:p w14:paraId="60C836D0" w14:textId="77777777" w:rsidR="00947EBC" w:rsidRDefault="00947EBC" w:rsidP="00947EBC">
      <w:pPr>
        <w:spacing w:before="200" w:after="0"/>
        <w:rPr>
          <w:rFonts w:ascii="Poppins SemiBold" w:hAnsi="Poppins SemiBold" w:cs="Poppins SemiBold"/>
          <w:b/>
          <w:bCs/>
          <w:color w:val="4472C4" w:themeColor="accent1"/>
          <w:sz w:val="24"/>
          <w:szCs w:val="24"/>
        </w:rPr>
      </w:pPr>
      <w:r w:rsidRPr="004D1916">
        <w:rPr>
          <w:rFonts w:ascii="Poppins SemiBold" w:hAnsi="Poppins SemiBold" w:cs="Poppins SemiBold"/>
          <w:b/>
          <w:bCs/>
          <w:color w:val="4472C4" w:themeColor="accent1"/>
          <w:sz w:val="24"/>
          <w:szCs w:val="24"/>
        </w:rPr>
        <w:t>KFF Publishes State-by-State Impact of Medicaid Cuts from Reconciliation Bill</w:t>
      </w:r>
    </w:p>
    <w:p w14:paraId="7BEBA652" w14:textId="77777777" w:rsidR="00947EBC" w:rsidRDefault="00947EBC" w:rsidP="00947EBC">
      <w:pPr>
        <w:spacing w:before="200" w:after="0"/>
        <w:rPr>
          <w:rFonts w:ascii="Poppins" w:hAnsi="Poppins" w:cs="Poppins"/>
          <w:sz w:val="20"/>
          <w:szCs w:val="20"/>
        </w:rPr>
      </w:pPr>
      <w:r w:rsidRPr="008B2BAC">
        <w:rPr>
          <w:rFonts w:ascii="Poppins" w:hAnsi="Poppins" w:cs="Poppins"/>
          <w:sz w:val="20"/>
          <w:szCs w:val="20"/>
        </w:rPr>
        <w:lastRenderedPageBreak/>
        <w:t>The Kaiser Family Foundation (KFF) </w:t>
      </w:r>
      <w:hyperlink r:id="rId10" w:tooltip="https://healthsperien.us19.list-manage.com/track/click?u=b80803827ec1d826bd16eace6&amp;id=d4336e6856&amp;e=02f9a79650" w:history="1">
        <w:r w:rsidRPr="008B2BAC">
          <w:rPr>
            <w:rStyle w:val="Hyperlink"/>
            <w:rFonts w:ascii="Poppins" w:hAnsi="Poppins" w:cs="Poppins"/>
            <w:sz w:val="20"/>
            <w:szCs w:val="20"/>
          </w:rPr>
          <w:t>published</w:t>
        </w:r>
      </w:hyperlink>
      <w:r w:rsidRPr="008B2BAC">
        <w:rPr>
          <w:rFonts w:ascii="Poppins" w:hAnsi="Poppins" w:cs="Poppins"/>
          <w:sz w:val="20"/>
          <w:szCs w:val="20"/>
        </w:rPr>
        <w:t> a report that examined the Congressional Budget Office’s (CBO) estimated reduction in federal spending across states as a result of the</w:t>
      </w:r>
      <w:r>
        <w:rPr>
          <w:rFonts w:ascii="Poppins" w:hAnsi="Poppins" w:cs="Poppins"/>
          <w:sz w:val="20"/>
          <w:szCs w:val="20"/>
        </w:rPr>
        <w:t xml:space="preserve"> </w:t>
      </w:r>
      <w:r>
        <w:rPr>
          <w:rFonts w:ascii="Poppins" w:hAnsi="Poppins" w:cs="Poppins"/>
          <w:i/>
          <w:iCs/>
          <w:sz w:val="20"/>
          <w:szCs w:val="20"/>
        </w:rPr>
        <w:t>One Big Beautiful</w:t>
      </w:r>
      <w:r w:rsidRPr="008B2BAC">
        <w:rPr>
          <w:rFonts w:ascii="Poppins" w:hAnsi="Poppins" w:cs="Poppins"/>
          <w:sz w:val="20"/>
          <w:szCs w:val="20"/>
        </w:rPr>
        <w:t xml:space="preserve"> reconciliation bill signed into law. KFF projected that 37 states will experience Medicaid cuts greater than 13% f</w:t>
      </w:r>
      <w:r>
        <w:rPr>
          <w:rFonts w:ascii="Poppins" w:hAnsi="Poppins" w:cs="Poppins"/>
          <w:sz w:val="20"/>
          <w:szCs w:val="20"/>
        </w:rPr>
        <w:t>rom a</w:t>
      </w:r>
      <w:r w:rsidRPr="008B2BAC">
        <w:rPr>
          <w:rFonts w:ascii="Poppins" w:hAnsi="Poppins" w:cs="Poppins"/>
          <w:sz w:val="20"/>
          <w:szCs w:val="20"/>
        </w:rPr>
        <w:t xml:space="preserve"> 10-year baseline federal spending from 2025 to 2034. The biggest cuts will come from work requirements, limiting states’ ability to raise the state share of Medicaid revenues through provider taxes, increasing barriers to enrolling in and renewing Medicaid coverage, and restricting state-directed payments to hospitals, nursing facilities, and other providers.</w:t>
      </w:r>
      <w:r w:rsidRPr="008B2BAC">
        <w:rPr>
          <w:rFonts w:ascii="Poppins" w:hAnsi="Poppins" w:cs="Poppins"/>
          <w:sz w:val="20"/>
          <w:szCs w:val="20"/>
        </w:rPr>
        <w:br/>
      </w:r>
      <w:r w:rsidRPr="008B2BAC">
        <w:rPr>
          <w:rFonts w:ascii="Poppins" w:hAnsi="Poppins" w:cs="Poppins"/>
          <w:sz w:val="20"/>
          <w:szCs w:val="20"/>
        </w:rPr>
        <w:br/>
        <w:t xml:space="preserve">Among the states, Wyoming and Alabama have the most modest reductions estimated at 6%. States that will experience the greatest cuts to federal Medicaid funding are </w:t>
      </w:r>
      <w:r>
        <w:rPr>
          <w:rFonts w:ascii="Poppins" w:hAnsi="Poppins" w:cs="Poppins"/>
          <w:sz w:val="20"/>
          <w:szCs w:val="20"/>
        </w:rPr>
        <w:t>V</w:t>
      </w:r>
      <w:r w:rsidRPr="008B2BAC">
        <w:rPr>
          <w:rFonts w:ascii="Poppins" w:hAnsi="Poppins" w:cs="Poppins"/>
          <w:sz w:val="20"/>
          <w:szCs w:val="20"/>
        </w:rPr>
        <w:t xml:space="preserve">irginia and Louisiana with an estimated 21% reduction. </w:t>
      </w:r>
      <w:r>
        <w:rPr>
          <w:rFonts w:ascii="Poppins" w:hAnsi="Poppins" w:cs="Poppins"/>
          <w:sz w:val="20"/>
          <w:szCs w:val="20"/>
        </w:rPr>
        <w:t xml:space="preserve">Additionally, </w:t>
      </w:r>
      <w:r w:rsidRPr="008B2BAC">
        <w:rPr>
          <w:rFonts w:ascii="Poppins" w:hAnsi="Poppins" w:cs="Poppins"/>
          <w:sz w:val="20"/>
          <w:szCs w:val="20"/>
        </w:rPr>
        <w:t>KFF projects that California and New York’s losses could exceed $100 billion. More than half of the estimated $1 trillion in cuts will fall on states that expanded coverage under the Affordable Care Act (ACA). The real impact of these cuts will depend greatly on how states respond.</w:t>
      </w:r>
    </w:p>
    <w:p w14:paraId="3B46322D" w14:textId="2DE3D4C0" w:rsidR="00825558" w:rsidRPr="00F57DAE" w:rsidRDefault="000C0545" w:rsidP="00825558">
      <w:pPr>
        <w:spacing w:before="200" w:after="0"/>
        <w:rPr>
          <w:rFonts w:ascii="Poppins SemiBold" w:hAnsi="Poppins SemiBold" w:cs="Poppins SemiBold"/>
          <w:b/>
          <w:bCs/>
          <w:color w:val="4472C4" w:themeColor="accent1"/>
          <w:sz w:val="24"/>
          <w:szCs w:val="24"/>
        </w:rPr>
      </w:pPr>
      <w:r w:rsidRPr="000C0545">
        <w:rPr>
          <w:rFonts w:ascii="Poppins SemiBold" w:hAnsi="Poppins SemiBold" w:cs="Poppins SemiBold"/>
          <w:b/>
          <w:bCs/>
          <w:color w:val="4472C4" w:themeColor="accent1"/>
          <w:sz w:val="24"/>
          <w:szCs w:val="24"/>
        </w:rPr>
        <w:t>The Food and Drug Administration Approves Moderna’s COVID-19 Vaccine for Children</w:t>
      </w:r>
    </w:p>
    <w:p w14:paraId="0D5C50B2" w14:textId="2943ECE5" w:rsidR="00715EA6" w:rsidRDefault="005D1F03" w:rsidP="008D009D">
      <w:pPr>
        <w:spacing w:before="200" w:after="0"/>
        <w:rPr>
          <w:rFonts w:ascii="Poppins" w:hAnsi="Poppins" w:cs="Poppins"/>
          <w:sz w:val="20"/>
          <w:szCs w:val="20"/>
        </w:rPr>
      </w:pPr>
      <w:r w:rsidRPr="005D1F03">
        <w:rPr>
          <w:rFonts w:ascii="Poppins" w:hAnsi="Poppins" w:cs="Poppins"/>
          <w:sz w:val="20"/>
          <w:szCs w:val="20"/>
        </w:rPr>
        <w:t>On July 10th, 2025, </w:t>
      </w:r>
      <w:hyperlink r:id="rId11" w:tooltip="https://healthsperien.us19.list-manage.com/track/click?u=b80803827ec1d826bd16eace6&amp;id=f861a831f8&amp;e=02f9a79650" w:history="1">
        <w:r w:rsidRPr="005D1F03">
          <w:rPr>
            <w:rStyle w:val="Hyperlink"/>
            <w:rFonts w:ascii="Poppins" w:hAnsi="Poppins" w:cs="Poppins"/>
            <w:sz w:val="20"/>
            <w:szCs w:val="20"/>
          </w:rPr>
          <w:t>Moderna’s COVID-19 vaccine</w:t>
        </w:r>
      </w:hyperlink>
      <w:r w:rsidRPr="005D1F03">
        <w:rPr>
          <w:rFonts w:ascii="Poppins" w:hAnsi="Poppins" w:cs="Poppins"/>
          <w:sz w:val="20"/>
          <w:szCs w:val="20"/>
        </w:rPr>
        <w:t> for children aged 6 months to 11 years received full approval from the Food and Drug Administration (FDA). This marks the first approved COVID-19 shot for this age group that is not approved under emergency authorization. The approval is only for children with at least one underlying condition that puts them at high risk for severe outcomes from a COVID-19 infection. This restriction comes after the Department of Health and Human Services (HHS) Secretary Robert F. Kennedy Jr., announced that HHS would no longer </w:t>
      </w:r>
      <w:hyperlink r:id="rId12" w:tooltip="https://healthsperien.us19.list-manage.com/track/click?u=b80803827ec1d826bd16eace6&amp;id=4f31a808d6&amp;e=02f9a79650" w:history="1">
        <w:r w:rsidRPr="005D1F03">
          <w:rPr>
            <w:rStyle w:val="Hyperlink"/>
            <w:rFonts w:ascii="Poppins" w:hAnsi="Poppins" w:cs="Poppins"/>
            <w:sz w:val="20"/>
            <w:szCs w:val="20"/>
          </w:rPr>
          <w:t>recommend the COVID-19 vaccine</w:t>
        </w:r>
      </w:hyperlink>
      <w:r w:rsidRPr="005D1F03">
        <w:rPr>
          <w:rFonts w:ascii="Poppins" w:hAnsi="Poppins" w:cs="Poppins"/>
          <w:sz w:val="20"/>
          <w:szCs w:val="20"/>
        </w:rPr>
        <w:t> for healthy pregnant women or healthy children in May of this year. The Centers for Disease Control and Prevention’s responded to this announcement by recommending that the vaccine’s administration be based on “shared clinical decision-making” between a child’s parent and provider. However, Moderna’s new licensing stipulation could make it harder for healthy children to be vaccinated against COVID-19 because administering this vaccine to healthy children would be considered off-label use. Stakeholders in the medical industry have taken issue with HHS’s new vaccine limitations as evidenced by a recent</w:t>
      </w:r>
      <w:hyperlink r:id="rId13" w:tooltip="https://healthsperien.us19.list-manage.com/track/click?u=b80803827ec1d826bd16eace6&amp;id=110c9d1221&amp;e=02f9a79650" w:history="1">
        <w:r w:rsidRPr="005D1F03">
          <w:rPr>
            <w:rStyle w:val="Hyperlink"/>
            <w:rFonts w:ascii="Poppins" w:hAnsi="Poppins" w:cs="Poppins"/>
            <w:sz w:val="20"/>
            <w:szCs w:val="20"/>
          </w:rPr>
          <w:t> lawsuit</w:t>
        </w:r>
      </w:hyperlink>
      <w:r w:rsidRPr="005D1F03">
        <w:rPr>
          <w:rFonts w:ascii="Poppins" w:hAnsi="Poppins" w:cs="Poppins"/>
          <w:sz w:val="20"/>
          <w:szCs w:val="20"/>
        </w:rPr>
        <w:t> brought by the American Academy of Pediatrics and other leading medical groups against Secretary Kennedy over the vaccine restrictions.</w:t>
      </w:r>
    </w:p>
    <w:p w14:paraId="4A5E6827" w14:textId="79CAA278" w:rsidR="001F5E4C" w:rsidRDefault="0093287C" w:rsidP="001F5E4C">
      <w:pPr>
        <w:spacing w:before="200" w:after="0"/>
        <w:rPr>
          <w:rFonts w:ascii="Poppins SemiBold" w:hAnsi="Poppins SemiBold" w:cs="Poppins SemiBold"/>
          <w:b/>
          <w:bCs/>
          <w:color w:val="4472C4" w:themeColor="accent1"/>
          <w:sz w:val="24"/>
          <w:szCs w:val="24"/>
        </w:rPr>
      </w:pPr>
      <w:r w:rsidRPr="0093287C">
        <w:rPr>
          <w:rFonts w:ascii="Poppins SemiBold" w:hAnsi="Poppins SemiBold" w:cs="Poppins SemiBold"/>
          <w:b/>
          <w:bCs/>
          <w:color w:val="4472C4" w:themeColor="accent1"/>
          <w:sz w:val="24"/>
          <w:szCs w:val="24"/>
        </w:rPr>
        <w:t>Major Medical Groups Sue Secretary Kennedy Over COVID-19 Vaccine Rollbacks</w:t>
      </w:r>
    </w:p>
    <w:p w14:paraId="3035F3A1" w14:textId="2F12EDD5" w:rsidR="001F5E4C" w:rsidRDefault="00BA7F6E" w:rsidP="008D009D">
      <w:pPr>
        <w:spacing w:before="200" w:after="0"/>
        <w:rPr>
          <w:rFonts w:ascii="Poppins" w:hAnsi="Poppins" w:cs="Poppins"/>
          <w:sz w:val="20"/>
          <w:szCs w:val="20"/>
        </w:rPr>
      </w:pPr>
      <w:r w:rsidRPr="00BA7F6E">
        <w:rPr>
          <w:rFonts w:ascii="Poppins" w:hAnsi="Poppins" w:cs="Poppins"/>
          <w:sz w:val="20"/>
          <w:szCs w:val="20"/>
        </w:rPr>
        <w:lastRenderedPageBreak/>
        <w:t>The American Academy of Pediatrics (AAP), the American College of Physicians (ACP), and the American Public Health Association (APHA) filed a </w:t>
      </w:r>
      <w:hyperlink r:id="rId14" w:tooltip="https://healthsperien.us19.list-manage.com/track/click?u=b80803827ec1d826bd16eace6&amp;id=6e1b397748&amp;e=02f9a79650" w:history="1">
        <w:r w:rsidRPr="00BA7F6E">
          <w:rPr>
            <w:rStyle w:val="Hyperlink"/>
            <w:rFonts w:ascii="Poppins" w:hAnsi="Poppins" w:cs="Poppins"/>
            <w:sz w:val="20"/>
            <w:szCs w:val="20"/>
          </w:rPr>
          <w:t>lawsuit</w:t>
        </w:r>
      </w:hyperlink>
      <w:r w:rsidRPr="00BA7F6E">
        <w:rPr>
          <w:rFonts w:ascii="Poppins" w:hAnsi="Poppins" w:cs="Poppins"/>
          <w:sz w:val="20"/>
          <w:szCs w:val="20"/>
        </w:rPr>
        <w:t> against the Department of Human and Health Services (HHS) Secretary Robert F. Kennedy Jr., challenging the recent</w:t>
      </w:r>
      <w:r>
        <w:rPr>
          <w:rFonts w:ascii="Poppins" w:hAnsi="Poppins" w:cs="Poppins"/>
          <w:sz w:val="20"/>
          <w:szCs w:val="20"/>
        </w:rPr>
        <w:t xml:space="preserve"> </w:t>
      </w:r>
      <w:r w:rsidRPr="00BA7F6E">
        <w:rPr>
          <w:rFonts w:ascii="Poppins" w:hAnsi="Poppins" w:cs="Poppins"/>
          <w:sz w:val="20"/>
          <w:szCs w:val="20"/>
        </w:rPr>
        <w:t>COVID-19 vaccine recommendation rollbacks. Secretary Kennedy’s newly appointed Advisory Committee on Immunization Practices</w:t>
      </w:r>
      <w:r>
        <w:rPr>
          <w:rFonts w:ascii="Poppins" w:hAnsi="Poppins" w:cs="Poppins"/>
          <w:sz w:val="20"/>
          <w:szCs w:val="20"/>
        </w:rPr>
        <w:t xml:space="preserve"> </w:t>
      </w:r>
      <w:r w:rsidRPr="00BA7F6E">
        <w:rPr>
          <w:rFonts w:ascii="Poppins" w:hAnsi="Poppins" w:cs="Poppins"/>
          <w:sz w:val="20"/>
          <w:szCs w:val="20"/>
        </w:rPr>
        <w:t>(ACIP) met on June 25</w:t>
      </w:r>
      <w:r w:rsidRPr="00BA7F6E">
        <w:rPr>
          <w:rFonts w:ascii="Poppins" w:hAnsi="Poppins" w:cs="Poppins"/>
          <w:sz w:val="20"/>
          <w:szCs w:val="20"/>
          <w:vertAlign w:val="superscript"/>
        </w:rPr>
        <w:t>th</w:t>
      </w:r>
      <w:r>
        <w:rPr>
          <w:rFonts w:ascii="Poppins" w:hAnsi="Poppins" w:cs="Poppins"/>
          <w:sz w:val="20"/>
          <w:szCs w:val="20"/>
        </w:rPr>
        <w:t xml:space="preserve"> </w:t>
      </w:r>
      <w:r w:rsidRPr="00BA7F6E">
        <w:rPr>
          <w:rFonts w:ascii="Poppins" w:hAnsi="Poppins" w:cs="Poppins"/>
          <w:sz w:val="20"/>
          <w:szCs w:val="20"/>
        </w:rPr>
        <w:t>to revise vaccine recommendations, including retracting COVID-19</w:t>
      </w:r>
      <w:r>
        <w:rPr>
          <w:rFonts w:ascii="Poppins" w:hAnsi="Poppins" w:cs="Poppins"/>
          <w:sz w:val="20"/>
          <w:szCs w:val="20"/>
        </w:rPr>
        <w:t xml:space="preserve"> </w:t>
      </w:r>
      <w:r w:rsidRPr="00BA7F6E">
        <w:rPr>
          <w:rFonts w:ascii="Poppins" w:hAnsi="Poppins" w:cs="Poppins"/>
          <w:sz w:val="20"/>
          <w:szCs w:val="20"/>
        </w:rPr>
        <w:t>vaccin</w:t>
      </w:r>
      <w:r>
        <w:rPr>
          <w:rFonts w:ascii="Poppins" w:hAnsi="Poppins" w:cs="Poppins"/>
          <w:sz w:val="20"/>
          <w:szCs w:val="20"/>
        </w:rPr>
        <w:t>e</w:t>
      </w:r>
      <w:r w:rsidRPr="00BA7F6E">
        <w:rPr>
          <w:rFonts w:ascii="Poppins" w:hAnsi="Poppins" w:cs="Poppins"/>
          <w:sz w:val="20"/>
          <w:szCs w:val="20"/>
        </w:rPr>
        <w:t xml:space="preserve"> recommendations </w:t>
      </w:r>
      <w:r>
        <w:rPr>
          <w:rFonts w:ascii="Poppins" w:hAnsi="Poppins" w:cs="Poppins"/>
          <w:sz w:val="20"/>
          <w:szCs w:val="20"/>
        </w:rPr>
        <w:t xml:space="preserve">for </w:t>
      </w:r>
      <w:r w:rsidRPr="00BA7F6E">
        <w:rPr>
          <w:rFonts w:ascii="Poppins" w:hAnsi="Poppins" w:cs="Poppins"/>
          <w:sz w:val="20"/>
          <w:szCs w:val="20"/>
        </w:rPr>
        <w:t xml:space="preserve">pregnant women and healthy children. AAP, ACP, and APHA argue that the decision violates the Administrative Procedure Act, which stipulates how federal agencies may develop and implement regulations. Dr. Susan Kressly, president of the </w:t>
      </w:r>
      <w:r>
        <w:rPr>
          <w:rFonts w:ascii="Poppins" w:hAnsi="Poppins" w:cs="Poppins"/>
          <w:sz w:val="20"/>
          <w:szCs w:val="20"/>
        </w:rPr>
        <w:t>AAP</w:t>
      </w:r>
      <w:r w:rsidRPr="00BA7F6E">
        <w:rPr>
          <w:rFonts w:ascii="Poppins" w:hAnsi="Poppins" w:cs="Poppins"/>
          <w:sz w:val="20"/>
          <w:szCs w:val="20"/>
        </w:rPr>
        <w:t>, alleges that since Secretary Kennedy’s confirmation, “experts have been sidelined, evidence has been undermined, and our nation's vaccine infrastructure is now threatened." Representing individual stakeholders in the case is a participating plaintiff, anonymously referred to as Jane Doe, a pregnant physician who has expressed concern regarding limited access to the</w:t>
      </w:r>
      <w:r>
        <w:rPr>
          <w:rFonts w:ascii="Poppins" w:hAnsi="Poppins" w:cs="Poppins"/>
          <w:sz w:val="20"/>
          <w:szCs w:val="20"/>
        </w:rPr>
        <w:t xml:space="preserve"> </w:t>
      </w:r>
      <w:r w:rsidRPr="00BA7F6E">
        <w:rPr>
          <w:rFonts w:ascii="Poppins" w:hAnsi="Poppins" w:cs="Poppins"/>
          <w:sz w:val="20"/>
          <w:szCs w:val="20"/>
        </w:rPr>
        <w:t>COVID-19 vaccine during her pregnancy. These ACIP recommendations play a significant role in shaping vaccine access. as their decision determines whether programs like Medicare and the Vaccine for Children Program cover the cost of certain vaccines. This lawsuit underscores growing concerns from medical and public health organizations that recent federal actions are compromising vital health policies.</w:t>
      </w:r>
    </w:p>
    <w:p w14:paraId="5D0A14BF" w14:textId="07F88EB6" w:rsidR="003A0EB5" w:rsidRDefault="00C04E8F" w:rsidP="003A0EB5">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Trump Administration</w:t>
      </w:r>
      <w:r w:rsidR="00B25FD2">
        <w:rPr>
          <w:rFonts w:ascii="Poppins SemiBold" w:hAnsi="Poppins SemiBold" w:cs="Poppins SemiBold"/>
          <w:b/>
          <w:bCs/>
          <w:color w:val="4472C4" w:themeColor="accent1"/>
          <w:sz w:val="24"/>
          <w:szCs w:val="24"/>
        </w:rPr>
        <w:t xml:space="preserve"> Rescinds Biden-era </w:t>
      </w:r>
      <w:r w:rsidR="00EF3EEA">
        <w:rPr>
          <w:rFonts w:ascii="Poppins SemiBold" w:hAnsi="Poppins SemiBold" w:cs="Poppins SemiBold"/>
          <w:b/>
          <w:bCs/>
          <w:color w:val="4472C4" w:themeColor="accent1"/>
          <w:sz w:val="24"/>
          <w:szCs w:val="24"/>
        </w:rPr>
        <w:t>Proposed Regulation to</w:t>
      </w:r>
      <w:r w:rsidR="00B25FD2">
        <w:rPr>
          <w:rFonts w:ascii="Poppins SemiBold" w:hAnsi="Poppins SemiBold" w:cs="Poppins SemiBold"/>
          <w:b/>
          <w:bCs/>
          <w:color w:val="4472C4" w:themeColor="accent1"/>
          <w:sz w:val="24"/>
          <w:szCs w:val="24"/>
        </w:rPr>
        <w:t xml:space="preserve"> End Subminimum Wages</w:t>
      </w:r>
      <w:r>
        <w:rPr>
          <w:rFonts w:ascii="Poppins SemiBold" w:hAnsi="Poppins SemiBold" w:cs="Poppins SemiBold"/>
          <w:b/>
          <w:bCs/>
          <w:color w:val="4472C4" w:themeColor="accent1"/>
          <w:sz w:val="24"/>
          <w:szCs w:val="24"/>
        </w:rPr>
        <w:t xml:space="preserve"> for Workers with Disabilities</w:t>
      </w:r>
    </w:p>
    <w:p w14:paraId="7D7DC561" w14:textId="2025CF34" w:rsidR="003A0EB5" w:rsidRDefault="00690EEF" w:rsidP="008D009D">
      <w:pPr>
        <w:spacing w:before="200" w:after="0"/>
        <w:rPr>
          <w:rFonts w:ascii="Poppins" w:hAnsi="Poppins" w:cs="Poppins"/>
          <w:sz w:val="20"/>
          <w:szCs w:val="20"/>
        </w:rPr>
      </w:pPr>
      <w:r>
        <w:rPr>
          <w:rFonts w:ascii="Poppins" w:hAnsi="Poppins" w:cs="Poppins"/>
          <w:sz w:val="20"/>
          <w:szCs w:val="20"/>
        </w:rPr>
        <w:t xml:space="preserve">The Department of Labor (DOL) Wage and Hour Division (WHD) </w:t>
      </w:r>
      <w:hyperlink r:id="rId15" w:history="1">
        <w:r w:rsidRPr="00E2066D">
          <w:rPr>
            <w:rStyle w:val="Hyperlink"/>
            <w:rFonts w:ascii="Poppins" w:hAnsi="Poppins" w:cs="Poppins"/>
            <w:sz w:val="20"/>
            <w:szCs w:val="20"/>
          </w:rPr>
          <w:t>withdrew</w:t>
        </w:r>
      </w:hyperlink>
      <w:r>
        <w:rPr>
          <w:rFonts w:ascii="Poppins" w:hAnsi="Poppins" w:cs="Poppins"/>
          <w:sz w:val="20"/>
          <w:szCs w:val="20"/>
        </w:rPr>
        <w:t xml:space="preserve"> the </w:t>
      </w:r>
      <w:r w:rsidR="00A0450A">
        <w:rPr>
          <w:rFonts w:ascii="Poppins" w:hAnsi="Poppins" w:cs="Poppins"/>
          <w:sz w:val="20"/>
          <w:szCs w:val="20"/>
        </w:rPr>
        <w:t xml:space="preserve">Biden-era proposed rule on Employment of Workers with Disabilities under Section 14(c) of the Fair Labor Standards Act. </w:t>
      </w:r>
      <w:r w:rsidR="00430142">
        <w:rPr>
          <w:rFonts w:ascii="Poppins" w:hAnsi="Poppins" w:cs="Poppins"/>
          <w:sz w:val="20"/>
          <w:szCs w:val="20"/>
        </w:rPr>
        <w:t xml:space="preserve">The </w:t>
      </w:r>
      <w:hyperlink r:id="rId16" w:history="1">
        <w:r w:rsidR="00430142" w:rsidRPr="00430142">
          <w:rPr>
            <w:rStyle w:val="Hyperlink"/>
            <w:rFonts w:ascii="Poppins" w:hAnsi="Poppins" w:cs="Poppins"/>
            <w:sz w:val="20"/>
            <w:szCs w:val="20"/>
          </w:rPr>
          <w:t>Proposed Rule</w:t>
        </w:r>
      </w:hyperlink>
      <w:r w:rsidR="00430142">
        <w:rPr>
          <w:rFonts w:ascii="Poppins" w:hAnsi="Poppins" w:cs="Poppins"/>
          <w:sz w:val="20"/>
          <w:szCs w:val="20"/>
        </w:rPr>
        <w:t xml:space="preserve"> was released in early December 2024 </w:t>
      </w:r>
      <w:r w:rsidR="00C52217">
        <w:rPr>
          <w:rFonts w:ascii="Poppins" w:hAnsi="Poppins" w:cs="Poppins"/>
          <w:sz w:val="20"/>
          <w:szCs w:val="20"/>
        </w:rPr>
        <w:t>and removed the pro</w:t>
      </w:r>
      <w:r w:rsidR="004B1C94">
        <w:rPr>
          <w:rFonts w:ascii="Poppins" w:hAnsi="Poppins" w:cs="Poppins"/>
          <w:sz w:val="20"/>
          <w:szCs w:val="20"/>
        </w:rPr>
        <w:t>vision of the Fair Labor Standards Act (FLSA) that allowed the DOL to issue certificates permitting employers to pay employees with disabilities impairing their productivity capacity</w:t>
      </w:r>
      <w:r w:rsidR="00B72987">
        <w:rPr>
          <w:rFonts w:ascii="Poppins" w:hAnsi="Poppins" w:cs="Poppins"/>
          <w:sz w:val="20"/>
          <w:szCs w:val="20"/>
        </w:rPr>
        <w:t xml:space="preserve"> less than minimum wage</w:t>
      </w:r>
      <w:r w:rsidR="002A5070">
        <w:rPr>
          <w:rFonts w:ascii="Poppins" w:hAnsi="Poppins" w:cs="Poppins"/>
          <w:sz w:val="20"/>
          <w:szCs w:val="20"/>
        </w:rPr>
        <w:t xml:space="preserve">, currently set at $7.25. </w:t>
      </w:r>
      <w:r w:rsidR="000C22C3">
        <w:rPr>
          <w:rFonts w:ascii="Poppins" w:hAnsi="Poppins" w:cs="Poppins"/>
          <w:sz w:val="20"/>
          <w:szCs w:val="20"/>
        </w:rPr>
        <w:t xml:space="preserve">The DOL withdrew the proposed rule </w:t>
      </w:r>
      <w:r w:rsidR="007C5504">
        <w:rPr>
          <w:rFonts w:ascii="Poppins" w:hAnsi="Poppins" w:cs="Poppins"/>
          <w:sz w:val="20"/>
          <w:szCs w:val="20"/>
        </w:rPr>
        <w:t xml:space="preserve">under the belief that the department </w:t>
      </w:r>
      <w:r w:rsidR="00854B47">
        <w:rPr>
          <w:rFonts w:ascii="Poppins" w:hAnsi="Poppins" w:cs="Poppins"/>
          <w:sz w:val="20"/>
          <w:szCs w:val="20"/>
        </w:rPr>
        <w:t>“</w:t>
      </w:r>
      <w:r w:rsidR="007C5504">
        <w:rPr>
          <w:rFonts w:ascii="Poppins" w:hAnsi="Poppins" w:cs="Poppins"/>
          <w:sz w:val="20"/>
          <w:szCs w:val="20"/>
        </w:rPr>
        <w:t>lacks statutory authority to unilaterally and permanently terminate the issuance</w:t>
      </w:r>
      <w:r w:rsidR="00854B47">
        <w:rPr>
          <w:rFonts w:ascii="Poppins" w:hAnsi="Poppins" w:cs="Poppins"/>
          <w:sz w:val="20"/>
          <w:szCs w:val="20"/>
        </w:rPr>
        <w:t xml:space="preserve"> of…” these certificates. Rather, the DOL points to</w:t>
      </w:r>
      <w:r w:rsidR="005E1304">
        <w:rPr>
          <w:rFonts w:ascii="Poppins" w:hAnsi="Poppins" w:cs="Poppins"/>
          <w:sz w:val="20"/>
          <w:szCs w:val="20"/>
        </w:rPr>
        <w:t xml:space="preserve"> the 18</w:t>
      </w:r>
      <w:r w:rsidR="00854B47">
        <w:rPr>
          <w:rFonts w:ascii="Poppins" w:hAnsi="Poppins" w:cs="Poppins"/>
          <w:sz w:val="20"/>
          <w:szCs w:val="20"/>
        </w:rPr>
        <w:t xml:space="preserve"> </w:t>
      </w:r>
      <w:r w:rsidR="00313166">
        <w:rPr>
          <w:rFonts w:ascii="Poppins" w:hAnsi="Poppins" w:cs="Poppins"/>
          <w:sz w:val="20"/>
          <w:szCs w:val="20"/>
        </w:rPr>
        <w:t>states who ended discriminatory wage practices through state l</w:t>
      </w:r>
      <w:r w:rsidR="005E1304">
        <w:rPr>
          <w:rFonts w:ascii="Poppins" w:hAnsi="Poppins" w:cs="Poppins"/>
          <w:sz w:val="20"/>
          <w:szCs w:val="20"/>
        </w:rPr>
        <w:t>egislation</w:t>
      </w:r>
      <w:r w:rsidR="00A155E5">
        <w:rPr>
          <w:rFonts w:ascii="Poppins" w:hAnsi="Poppins" w:cs="Poppins"/>
          <w:sz w:val="20"/>
          <w:szCs w:val="20"/>
        </w:rPr>
        <w:t xml:space="preserve"> and argues that certificates are necessary to ensure individuals with significant disabilities can obtain </w:t>
      </w:r>
      <w:r w:rsidR="00013FDF">
        <w:rPr>
          <w:rFonts w:ascii="Poppins" w:hAnsi="Poppins" w:cs="Poppins"/>
          <w:sz w:val="20"/>
          <w:szCs w:val="20"/>
        </w:rPr>
        <w:t>employment and ancillary services.</w:t>
      </w:r>
      <w:r w:rsidR="00DD4B0F">
        <w:rPr>
          <w:rFonts w:ascii="Poppins" w:hAnsi="Poppins" w:cs="Poppins"/>
          <w:sz w:val="20"/>
          <w:szCs w:val="20"/>
        </w:rPr>
        <w:t xml:space="preserve"> </w:t>
      </w:r>
      <w:r w:rsidR="00935568">
        <w:rPr>
          <w:rFonts w:ascii="Poppins" w:hAnsi="Poppins" w:cs="Poppins"/>
          <w:sz w:val="20"/>
          <w:szCs w:val="20"/>
        </w:rPr>
        <w:t xml:space="preserve">Disability advocates </w:t>
      </w:r>
      <w:hyperlink r:id="rId17" w:history="1">
        <w:r w:rsidR="00935568" w:rsidRPr="005E1304">
          <w:rPr>
            <w:rStyle w:val="Hyperlink"/>
            <w:rFonts w:ascii="Poppins" w:hAnsi="Poppins" w:cs="Poppins"/>
            <w:sz w:val="20"/>
            <w:szCs w:val="20"/>
          </w:rPr>
          <w:t>argue</w:t>
        </w:r>
      </w:hyperlink>
      <w:r w:rsidR="00935568">
        <w:rPr>
          <w:rFonts w:ascii="Poppins" w:hAnsi="Poppins" w:cs="Poppins"/>
          <w:sz w:val="20"/>
          <w:szCs w:val="20"/>
        </w:rPr>
        <w:t xml:space="preserve"> </w:t>
      </w:r>
      <w:r w:rsidR="00AC4C31">
        <w:rPr>
          <w:rFonts w:ascii="Poppins" w:hAnsi="Poppins" w:cs="Poppins"/>
          <w:sz w:val="20"/>
          <w:szCs w:val="20"/>
        </w:rPr>
        <w:t xml:space="preserve">subminimum wage practices </w:t>
      </w:r>
      <w:r w:rsidR="005E1304">
        <w:rPr>
          <w:rFonts w:ascii="Poppins" w:hAnsi="Poppins" w:cs="Poppins"/>
          <w:sz w:val="20"/>
          <w:szCs w:val="20"/>
        </w:rPr>
        <w:t>neither</w:t>
      </w:r>
      <w:r w:rsidR="00AC4C31">
        <w:rPr>
          <w:rFonts w:ascii="Poppins" w:hAnsi="Poppins" w:cs="Poppins"/>
          <w:sz w:val="20"/>
          <w:szCs w:val="20"/>
        </w:rPr>
        <w:t xml:space="preserve"> help individuals with disabilities achieve financial stability nor transition </w:t>
      </w:r>
      <w:r w:rsidR="005E1304">
        <w:rPr>
          <w:rFonts w:ascii="Poppins" w:hAnsi="Poppins" w:cs="Poppins"/>
          <w:sz w:val="20"/>
          <w:szCs w:val="20"/>
        </w:rPr>
        <w:t xml:space="preserve">to regular employment. As of July 2024, approximately 38,000 </w:t>
      </w:r>
      <w:hyperlink r:id="rId18" w:history="1">
        <w:r w:rsidR="005E1304" w:rsidRPr="00491299">
          <w:rPr>
            <w:rStyle w:val="Hyperlink"/>
            <w:rFonts w:ascii="Poppins" w:hAnsi="Poppins" w:cs="Poppins"/>
            <w:sz w:val="20"/>
            <w:szCs w:val="20"/>
          </w:rPr>
          <w:t>individuals</w:t>
        </w:r>
      </w:hyperlink>
      <w:r w:rsidR="005E1304">
        <w:rPr>
          <w:rFonts w:ascii="Poppins" w:hAnsi="Poppins" w:cs="Poppins"/>
          <w:sz w:val="20"/>
          <w:szCs w:val="20"/>
        </w:rPr>
        <w:t xml:space="preserve">, 90% of whom have </w:t>
      </w:r>
      <w:hyperlink r:id="rId19" w:history="1">
        <w:r w:rsidR="005E1304" w:rsidRPr="00935568">
          <w:rPr>
            <w:rStyle w:val="Hyperlink"/>
            <w:rFonts w:ascii="Poppins" w:hAnsi="Poppins" w:cs="Poppins"/>
            <w:sz w:val="20"/>
            <w:szCs w:val="20"/>
          </w:rPr>
          <w:t>intellectual disabilities</w:t>
        </w:r>
      </w:hyperlink>
      <w:r w:rsidR="005E1304">
        <w:rPr>
          <w:rFonts w:ascii="Poppins" w:hAnsi="Poppins" w:cs="Poppins"/>
          <w:sz w:val="20"/>
          <w:szCs w:val="20"/>
        </w:rPr>
        <w:t>, earn subminimum wages at an average $3.50 per hour.</w:t>
      </w:r>
    </w:p>
    <w:p w14:paraId="6460FC7C" w14:textId="5D182852" w:rsidR="007F4C48" w:rsidRDefault="007F4C48" w:rsidP="007F4C48">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 xml:space="preserve">AAP Releases New Guidance on </w:t>
      </w:r>
      <w:r w:rsidR="00EC0727">
        <w:rPr>
          <w:rFonts w:ascii="Poppins SemiBold" w:hAnsi="Poppins SemiBold" w:cs="Poppins SemiBold"/>
          <w:b/>
          <w:bCs/>
          <w:color w:val="4472C4" w:themeColor="accent1"/>
          <w:sz w:val="24"/>
          <w:szCs w:val="24"/>
        </w:rPr>
        <w:t>Genetic Evaluation of Children with Intellectual Disability or Global Developmental Delay</w:t>
      </w:r>
    </w:p>
    <w:p w14:paraId="21034DAC" w14:textId="4B27CAD8" w:rsidR="007F4C48" w:rsidRDefault="00185A89" w:rsidP="007F4C48">
      <w:pPr>
        <w:spacing w:before="200" w:after="0"/>
        <w:rPr>
          <w:rFonts w:ascii="Poppins" w:hAnsi="Poppins" w:cs="Poppins"/>
          <w:sz w:val="20"/>
          <w:szCs w:val="20"/>
        </w:rPr>
      </w:pPr>
      <w:r>
        <w:rPr>
          <w:rFonts w:ascii="Poppins" w:hAnsi="Poppins" w:cs="Poppins"/>
          <w:sz w:val="20"/>
          <w:szCs w:val="20"/>
        </w:rPr>
        <w:lastRenderedPageBreak/>
        <w:t xml:space="preserve">The American Academy of Pediatrics (AAP) Council on Genetics </w:t>
      </w:r>
      <w:hyperlink r:id="rId20" w:history="1">
        <w:r w:rsidRPr="0087107C">
          <w:rPr>
            <w:rStyle w:val="Hyperlink"/>
            <w:rFonts w:ascii="Poppins" w:hAnsi="Poppins" w:cs="Poppins"/>
            <w:sz w:val="20"/>
            <w:szCs w:val="20"/>
          </w:rPr>
          <w:t>released</w:t>
        </w:r>
      </w:hyperlink>
      <w:r>
        <w:rPr>
          <w:rFonts w:ascii="Poppins" w:hAnsi="Poppins" w:cs="Poppins"/>
          <w:sz w:val="20"/>
          <w:szCs w:val="20"/>
        </w:rPr>
        <w:t xml:space="preserve"> updated clinical guidance </w:t>
      </w:r>
      <w:r w:rsidR="009A273D">
        <w:rPr>
          <w:rFonts w:ascii="Poppins" w:hAnsi="Poppins" w:cs="Poppins"/>
          <w:sz w:val="20"/>
          <w:szCs w:val="20"/>
        </w:rPr>
        <w:t>on evaluating the genetic causes of Intellectual Disability (ID) and Global Developmental Delay (GDD)</w:t>
      </w:r>
      <w:r w:rsidR="00CB7955">
        <w:rPr>
          <w:rFonts w:ascii="Poppins" w:hAnsi="Poppins" w:cs="Poppins"/>
          <w:sz w:val="20"/>
          <w:szCs w:val="20"/>
        </w:rPr>
        <w:t xml:space="preserve">, offering a step-by-step </w:t>
      </w:r>
      <w:r w:rsidR="00617A48">
        <w:rPr>
          <w:rFonts w:ascii="Poppins" w:hAnsi="Poppins" w:cs="Poppins"/>
          <w:sz w:val="20"/>
          <w:szCs w:val="20"/>
        </w:rPr>
        <w:t xml:space="preserve">framework for evaluation. The authors </w:t>
      </w:r>
      <w:r w:rsidR="00320DE6">
        <w:rPr>
          <w:rFonts w:ascii="Poppins" w:hAnsi="Poppins" w:cs="Poppins"/>
          <w:sz w:val="20"/>
          <w:szCs w:val="20"/>
        </w:rPr>
        <w:t>state that identifying genetic causes can improve clinical care, guide family planning, reduce additional testing, and offer access to condition-specific resources and clinical trials.</w:t>
      </w:r>
      <w:r w:rsidR="00BD1FA6">
        <w:rPr>
          <w:rFonts w:ascii="Poppins" w:hAnsi="Poppins" w:cs="Poppins"/>
          <w:sz w:val="20"/>
          <w:szCs w:val="20"/>
        </w:rPr>
        <w:t xml:space="preserve"> The report underscores the importance of comprehensive pre-test counseling </w:t>
      </w:r>
      <w:r w:rsidR="00407724">
        <w:rPr>
          <w:rFonts w:ascii="Poppins" w:hAnsi="Poppins" w:cs="Poppins"/>
          <w:sz w:val="20"/>
          <w:szCs w:val="20"/>
        </w:rPr>
        <w:t>to ensure families are prepared for potential incidental or secondary findings including nonpaternity and predisposition to other diseases.</w:t>
      </w:r>
    </w:p>
    <w:p w14:paraId="3D2D5CE0" w14:textId="19C6C38F" w:rsidR="00E95F0D" w:rsidRDefault="009B5C24" w:rsidP="00E95F0D">
      <w:pPr>
        <w:spacing w:before="200" w:after="0"/>
        <w:rPr>
          <w:rFonts w:ascii="Poppins SemiBold" w:hAnsi="Poppins SemiBold" w:cs="Poppins SemiBold"/>
          <w:b/>
          <w:bCs/>
          <w:color w:val="4472C4" w:themeColor="accent1"/>
          <w:sz w:val="24"/>
          <w:szCs w:val="24"/>
        </w:rPr>
      </w:pPr>
      <w:r w:rsidRPr="009B5C24">
        <w:rPr>
          <w:rFonts w:ascii="Poppins SemiBold" w:hAnsi="Poppins SemiBold" w:cs="Poppins SemiBold"/>
          <w:b/>
          <w:bCs/>
          <w:color w:val="4472C4" w:themeColor="accent1"/>
          <w:sz w:val="24"/>
          <w:szCs w:val="24"/>
        </w:rPr>
        <w:t>Trump Administration Ramps Up Focus on Health Care Fraud, Waste, and Abuse</w:t>
      </w:r>
    </w:p>
    <w:p w14:paraId="33C404CE" w14:textId="0CD69AC3" w:rsidR="00B1188B" w:rsidRDefault="00E95F0D" w:rsidP="00B1188B">
      <w:pPr>
        <w:spacing w:before="200"/>
        <w:rPr>
          <w:rFonts w:ascii="Poppins" w:hAnsi="Poppins" w:cs="Poppins"/>
          <w:sz w:val="20"/>
          <w:szCs w:val="20"/>
        </w:rPr>
      </w:pPr>
      <w:r w:rsidRPr="00BA7F6E">
        <w:rPr>
          <w:rFonts w:ascii="Poppins" w:hAnsi="Poppins" w:cs="Poppins"/>
          <w:sz w:val="20"/>
          <w:szCs w:val="20"/>
        </w:rPr>
        <w:t>T</w:t>
      </w:r>
      <w:r w:rsidR="00B1188B" w:rsidRPr="00B1188B">
        <w:rPr>
          <w:rFonts w:ascii="Poppins" w:hAnsi="Poppins" w:cs="Poppins"/>
          <w:sz w:val="20"/>
          <w:szCs w:val="20"/>
        </w:rPr>
        <w:t>he Department of Justice (DOJ) in partnership with the Department of Health and Human Services (HHS) </w:t>
      </w:r>
      <w:hyperlink r:id="rId21" w:tooltip="https://healthsperien.us19.list-manage.com/track/click?u=b80803827ec1d826bd16eace6&amp;id=afe4595c1e&amp;e=02f9a79650" w:history="1">
        <w:r w:rsidR="00B1188B" w:rsidRPr="00B1188B">
          <w:rPr>
            <w:rStyle w:val="Hyperlink"/>
            <w:rFonts w:ascii="Poppins" w:hAnsi="Poppins" w:cs="Poppins"/>
            <w:sz w:val="20"/>
            <w:szCs w:val="20"/>
          </w:rPr>
          <w:t>announced</w:t>
        </w:r>
      </w:hyperlink>
      <w:r w:rsidR="00B1188B" w:rsidRPr="00B1188B">
        <w:rPr>
          <w:rFonts w:ascii="Poppins" w:hAnsi="Poppins" w:cs="Poppins"/>
          <w:sz w:val="20"/>
          <w:szCs w:val="20"/>
        </w:rPr>
        <w:t> the 2025 National Health Care Fraud Takedown. In its first week, the Takedown </w:t>
      </w:r>
      <w:hyperlink r:id="rId22" w:tooltip="https://healthsperien.us19.list-manage.com/track/click?u=b80803827ec1d826bd16eace6&amp;id=2a1364e929&amp;e=02f9a79650" w:history="1">
        <w:r w:rsidR="00B1188B" w:rsidRPr="00B1188B">
          <w:rPr>
            <w:rStyle w:val="Hyperlink"/>
            <w:rFonts w:ascii="Poppins" w:hAnsi="Poppins" w:cs="Poppins"/>
            <w:sz w:val="20"/>
            <w:szCs w:val="20"/>
          </w:rPr>
          <w:t>identified</w:t>
        </w:r>
      </w:hyperlink>
      <w:r w:rsidR="00B1188B" w:rsidRPr="00B1188B">
        <w:rPr>
          <w:rFonts w:ascii="Poppins" w:hAnsi="Poppins" w:cs="Poppins"/>
          <w:sz w:val="20"/>
          <w:szCs w:val="20"/>
        </w:rPr>
        <w:t> $14.6 billion in intended fraud loss charged in 50 federal districts against 126 defendants including charges brought against 96 medical professionals. The Takedown is focused on transnational criminal organizations, fraudulent wound care, prescription opioid trafficking, telemedicine and genetic testing fraud, and other fraudulent health care schemes. The Takedown’s largest case, called “Operation Gold Rush”, </w:t>
      </w:r>
      <w:hyperlink r:id="rId23" w:tooltip="https://healthsperien.us19.list-manage.com/track/click?u=b80803827ec1d826bd16eace6&amp;id=d77d8a7d5f&amp;e=02f9a79650" w:history="1">
        <w:r w:rsidR="00B1188B" w:rsidRPr="00B1188B">
          <w:rPr>
            <w:rStyle w:val="Hyperlink"/>
            <w:rFonts w:ascii="Poppins" w:hAnsi="Poppins" w:cs="Poppins"/>
            <w:sz w:val="20"/>
            <w:szCs w:val="20"/>
          </w:rPr>
          <w:t>charged</w:t>
        </w:r>
      </w:hyperlink>
      <w:r w:rsidR="00B1188B" w:rsidRPr="00B1188B">
        <w:rPr>
          <w:rFonts w:ascii="Poppins" w:hAnsi="Poppins" w:cs="Poppins"/>
          <w:sz w:val="20"/>
          <w:szCs w:val="20"/>
        </w:rPr>
        <w:t> 11 individuals from Russia, Estonia, the Czek Republic, and the United States for using over one million Americans’ personally identifiable information to fraudulently bill over $10.6 million to Medicare, Medicaid, and other health care benefit programs for durable medical equipment (DME).</w:t>
      </w:r>
    </w:p>
    <w:p w14:paraId="11E337B7" w14:textId="4B473D84" w:rsidR="00AE70BF" w:rsidRDefault="00927174" w:rsidP="00AE70BF">
      <w:pPr>
        <w:spacing w:before="200" w:after="0"/>
        <w:rPr>
          <w:rFonts w:ascii="Poppins SemiBold" w:hAnsi="Poppins SemiBold" w:cs="Poppins SemiBold"/>
          <w:b/>
          <w:bCs/>
          <w:color w:val="4472C4" w:themeColor="accent1"/>
          <w:sz w:val="24"/>
          <w:szCs w:val="24"/>
        </w:rPr>
      </w:pPr>
      <w:r w:rsidRPr="00927174">
        <w:rPr>
          <w:rFonts w:ascii="Poppins SemiBold" w:hAnsi="Poppins SemiBold" w:cs="Poppins SemiBold"/>
          <w:b/>
          <w:bCs/>
          <w:color w:val="4472C4" w:themeColor="accent1"/>
          <w:sz w:val="24"/>
          <w:szCs w:val="24"/>
        </w:rPr>
        <w:t>Judge Rules Health Agencies Must Restore Websites Removed Under Trump Executive Order</w:t>
      </w:r>
    </w:p>
    <w:p w14:paraId="6152276B" w14:textId="4C062DBA" w:rsidR="00927174" w:rsidRPr="00927174" w:rsidRDefault="00927174" w:rsidP="00927174">
      <w:pPr>
        <w:spacing w:before="200"/>
        <w:rPr>
          <w:rFonts w:ascii="Poppins" w:hAnsi="Poppins" w:cs="Poppins"/>
          <w:sz w:val="20"/>
          <w:szCs w:val="20"/>
        </w:rPr>
      </w:pPr>
      <w:r w:rsidRPr="00927174">
        <w:rPr>
          <w:rFonts w:ascii="Poppins" w:hAnsi="Poppins" w:cs="Poppins"/>
          <w:sz w:val="20"/>
          <w:szCs w:val="20"/>
        </w:rPr>
        <w:t>In a </w:t>
      </w:r>
      <w:hyperlink r:id="rId24" w:tooltip="https://healthsperien.us19.list-manage.com/track/click?u=b80803827ec1d826bd16eace6&amp;id=36afcb8e71&amp;e=02f9a79650" w:history="1">
        <w:r w:rsidRPr="00927174">
          <w:rPr>
            <w:rStyle w:val="Hyperlink"/>
            <w:rFonts w:ascii="Poppins" w:hAnsi="Poppins" w:cs="Poppins"/>
            <w:sz w:val="20"/>
            <w:szCs w:val="20"/>
          </w:rPr>
          <w:t>lawsuit</w:t>
        </w:r>
      </w:hyperlink>
      <w:r w:rsidRPr="00927174">
        <w:rPr>
          <w:rFonts w:ascii="Poppins" w:hAnsi="Poppins" w:cs="Poppins"/>
          <w:sz w:val="20"/>
          <w:szCs w:val="20"/>
        </w:rPr>
        <w:t> filed on July 2, 2025, Doctors for America, a group that represents physicians in the United States, successfully challenged the Trump administration's removal of health-related information from various federal websites. The case, Doctors for America v. Office of Personnel Management (OPM), argued that the Trump administration violated the Administrative Procedure Act by eliminating and heavily redacting resources that health care professionals relied on.  </w:t>
      </w:r>
    </w:p>
    <w:p w14:paraId="27BF1F8B" w14:textId="77777777" w:rsidR="00927174" w:rsidRPr="00927174" w:rsidRDefault="00927174" w:rsidP="00927174">
      <w:pPr>
        <w:spacing w:before="200"/>
        <w:rPr>
          <w:rFonts w:ascii="Poppins" w:hAnsi="Poppins" w:cs="Poppins"/>
          <w:sz w:val="20"/>
          <w:szCs w:val="20"/>
        </w:rPr>
      </w:pPr>
      <w:r w:rsidRPr="00927174">
        <w:rPr>
          <w:rFonts w:ascii="Poppins" w:hAnsi="Poppins" w:cs="Poppins"/>
          <w:sz w:val="20"/>
          <w:szCs w:val="20"/>
        </w:rPr>
        <w:t>The removals were executed under Executive Order 14168, "</w:t>
      </w:r>
      <w:hyperlink r:id="rId25" w:tooltip="https://healthsperien.us19.list-manage.com/track/click?u=b80803827ec1d826bd16eace6&amp;id=dbe236615f&amp;e=02f9a79650" w:history="1">
        <w:r w:rsidRPr="00927174">
          <w:rPr>
            <w:rStyle w:val="Hyperlink"/>
            <w:rFonts w:ascii="Poppins" w:hAnsi="Poppins" w:cs="Poppins"/>
            <w:sz w:val="20"/>
            <w:szCs w:val="20"/>
          </w:rPr>
          <w:t>Defending Women from Gender Ideology Extremism and Restoring Biological Truth to the Federal Government,"</w:t>
        </w:r>
      </w:hyperlink>
      <w:r w:rsidRPr="00927174">
        <w:rPr>
          <w:rFonts w:ascii="Poppins" w:hAnsi="Poppins" w:cs="Poppins"/>
          <w:sz w:val="20"/>
          <w:szCs w:val="20"/>
        </w:rPr>
        <w:t> issued by President Trump on January 20, 2025. In response, OPM and the Department of Health and Human Services issued memorandums instructing agencies to remove or modify relevant health care websites. </w:t>
      </w:r>
    </w:p>
    <w:p w14:paraId="1EC8A15D" w14:textId="3D7B57D5" w:rsidR="00AE70BF" w:rsidRDefault="00927174" w:rsidP="00AE70BF">
      <w:pPr>
        <w:spacing w:before="200"/>
        <w:rPr>
          <w:rFonts w:ascii="Poppins" w:hAnsi="Poppins" w:cs="Poppins"/>
          <w:sz w:val="20"/>
          <w:szCs w:val="20"/>
        </w:rPr>
      </w:pPr>
      <w:r w:rsidRPr="00927174">
        <w:rPr>
          <w:rFonts w:ascii="Poppins" w:hAnsi="Poppins" w:cs="Poppins"/>
          <w:sz w:val="20"/>
          <w:szCs w:val="20"/>
        </w:rPr>
        <w:lastRenderedPageBreak/>
        <w:t>U.S. District Judge John D. Bates ruled in favor of Doctors for America, and ordered the restoration of all health agency websites that had been changed or removed on or after January 29, 2025.</w:t>
      </w:r>
    </w:p>
    <w:p w14:paraId="43E6AFF7" w14:textId="7FA7718F" w:rsidR="00F31B3E" w:rsidRDefault="00ED5A91" w:rsidP="00F31B3E">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Disability Advocates Challenge Colorado Physician Assisted Suicide Law</w:t>
      </w:r>
    </w:p>
    <w:p w14:paraId="0920955C" w14:textId="7D805FE6" w:rsidR="00F31B3E" w:rsidRPr="00B1188B" w:rsidRDefault="008A303F" w:rsidP="00F31B3E">
      <w:pPr>
        <w:spacing w:before="200"/>
        <w:rPr>
          <w:rFonts w:ascii="Poppins" w:hAnsi="Poppins" w:cs="Poppins"/>
          <w:sz w:val="20"/>
          <w:szCs w:val="20"/>
        </w:rPr>
      </w:pPr>
      <w:r>
        <w:rPr>
          <w:rFonts w:ascii="Poppins" w:hAnsi="Poppins" w:cs="Poppins"/>
          <w:sz w:val="20"/>
          <w:szCs w:val="20"/>
        </w:rPr>
        <w:t xml:space="preserve">The United Spinal Association and other disability rights organizations </w:t>
      </w:r>
      <w:hyperlink r:id="rId26" w:history="1">
        <w:r w:rsidRPr="00630D66">
          <w:rPr>
            <w:rStyle w:val="Hyperlink"/>
            <w:rFonts w:ascii="Poppins" w:hAnsi="Poppins" w:cs="Poppins"/>
            <w:sz w:val="20"/>
            <w:szCs w:val="20"/>
          </w:rPr>
          <w:t>filed</w:t>
        </w:r>
      </w:hyperlink>
      <w:r>
        <w:rPr>
          <w:rFonts w:ascii="Poppins" w:hAnsi="Poppins" w:cs="Poppins"/>
          <w:sz w:val="20"/>
          <w:szCs w:val="20"/>
        </w:rPr>
        <w:t xml:space="preserve"> a lawsuit against the state of Colorado, claiming the </w:t>
      </w:r>
      <w:r w:rsidR="00876819">
        <w:rPr>
          <w:rFonts w:ascii="Poppins" w:hAnsi="Poppins" w:cs="Poppins"/>
          <w:sz w:val="20"/>
          <w:szCs w:val="20"/>
        </w:rPr>
        <w:t>End-of-Life</w:t>
      </w:r>
      <w:r>
        <w:rPr>
          <w:rFonts w:ascii="Poppins" w:hAnsi="Poppins" w:cs="Poppins"/>
          <w:sz w:val="20"/>
          <w:szCs w:val="20"/>
        </w:rPr>
        <w:t xml:space="preserve"> Operations Act (EOLOA) violates the Americans with Disabilities Act, the Rehabilitation Act, the Affordable Care Act, and the due process and equal protection clauses. </w:t>
      </w:r>
      <w:r w:rsidR="00EE10DE">
        <w:rPr>
          <w:rFonts w:ascii="Poppins" w:hAnsi="Poppins" w:cs="Poppins"/>
          <w:sz w:val="20"/>
          <w:szCs w:val="20"/>
        </w:rPr>
        <w:t>The plaintiffs argue EOLOA allows providers to certify patients as terminally ill and prescribe lethal drugs but does not provide equal access to suicide prevention services</w:t>
      </w:r>
      <w:r w:rsidR="00FA586B">
        <w:rPr>
          <w:rFonts w:ascii="Poppins" w:hAnsi="Poppins" w:cs="Poppins"/>
          <w:sz w:val="20"/>
          <w:szCs w:val="20"/>
        </w:rPr>
        <w:t xml:space="preserve"> and discriminates against people with life-threatening disabilities.</w:t>
      </w:r>
      <w:r w:rsidR="00205126">
        <w:rPr>
          <w:rFonts w:ascii="Poppins" w:hAnsi="Poppins" w:cs="Poppins"/>
          <w:sz w:val="20"/>
          <w:szCs w:val="20"/>
        </w:rPr>
        <w:t xml:space="preserve"> </w:t>
      </w:r>
      <w:r w:rsidR="00A53956">
        <w:rPr>
          <w:rFonts w:ascii="Poppins" w:hAnsi="Poppins" w:cs="Poppins"/>
          <w:sz w:val="20"/>
          <w:szCs w:val="20"/>
        </w:rPr>
        <w:t>Additionally, they claim the law lacks the safeguards necessary to “protect people with life-threatening disabilities from self-inflicted death caused by impaired judgement, depression, and undue influence.”</w:t>
      </w:r>
    </w:p>
    <w:p w14:paraId="4D960EB1" w14:textId="77777777" w:rsidR="00240B8D" w:rsidRDefault="00240B8D" w:rsidP="00240B8D">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555CAFC0" w14:textId="534EA1FE" w:rsidR="005063D8" w:rsidRPr="005063D8" w:rsidRDefault="005063D8" w:rsidP="005063D8">
      <w:pPr>
        <w:spacing w:line="240" w:lineRule="auto"/>
        <w:rPr>
          <w:rFonts w:ascii="Poppins" w:hAnsi="Poppins" w:cs="Poppins"/>
          <w:sz w:val="20"/>
          <w:szCs w:val="20"/>
        </w:rPr>
      </w:pPr>
      <w:r w:rsidRPr="005063D8">
        <w:rPr>
          <w:rFonts w:ascii="Poppins" w:hAnsi="Poppins" w:cs="Poppins"/>
          <w:sz w:val="20"/>
          <w:szCs w:val="20"/>
        </w:rPr>
        <w:t>Last week, the Supreme Court </w:t>
      </w:r>
      <w:hyperlink r:id="rId27" w:tooltip="https://healthsperien.us19.list-manage.com/track/click?u=b80803827ec1d826bd16eace6&amp;id=174eb21426&amp;e=02f9a79650" w:history="1">
        <w:r w:rsidRPr="005063D8">
          <w:rPr>
            <w:rStyle w:val="Hyperlink"/>
            <w:rFonts w:ascii="Poppins" w:hAnsi="Poppins" w:cs="Poppins"/>
            <w:sz w:val="20"/>
            <w:szCs w:val="20"/>
          </w:rPr>
          <w:t>overturned a lower court injunction</w:t>
        </w:r>
      </w:hyperlink>
      <w:r w:rsidRPr="005063D8">
        <w:rPr>
          <w:rFonts w:ascii="Poppins" w:hAnsi="Poppins" w:cs="Poppins"/>
          <w:sz w:val="20"/>
          <w:szCs w:val="20"/>
        </w:rPr>
        <w:t> that had blocked federal agencies, including the Department of Health and Human Services (HHS), from implementing President Trump’s broad staffing cuts across federal agencies. Although not a permanent ruling, the 8-1 vote in favor of the Trump Administration likely indicates that the Court will side with the President, should this matter be officially brought to the Supreme Court. HHS has cut over 10,000 staff members over six months, with this ruling effectively allowing those firings to remain in place. The Trump Administration is expected to leverage this ruling in their continued efforts to reduce the federal workforce, evidence</w:t>
      </w:r>
      <w:r w:rsidR="00234819">
        <w:rPr>
          <w:rFonts w:ascii="Poppins" w:hAnsi="Poppins" w:cs="Poppins"/>
          <w:sz w:val="20"/>
          <w:szCs w:val="20"/>
        </w:rPr>
        <w:t>d</w:t>
      </w:r>
      <w:r w:rsidRPr="005063D8">
        <w:rPr>
          <w:rFonts w:ascii="Poppins" w:hAnsi="Poppins" w:cs="Poppins"/>
          <w:sz w:val="20"/>
          <w:szCs w:val="20"/>
        </w:rPr>
        <w:t xml:space="preserve"> by the </w:t>
      </w:r>
      <w:hyperlink r:id="rId28" w:tooltip="https://healthsperien.us19.list-manage.com/track/click?u=b80803827ec1d826bd16eace6&amp;id=2b2ecc3ff8&amp;e=02f9a79650" w:history="1">
        <w:r w:rsidRPr="005063D8">
          <w:rPr>
            <w:rStyle w:val="Hyperlink"/>
            <w:rFonts w:ascii="Poppins" w:hAnsi="Poppins" w:cs="Poppins"/>
            <w:sz w:val="20"/>
            <w:szCs w:val="20"/>
          </w:rPr>
          <w:t>mass layoffs</w:t>
        </w:r>
      </w:hyperlink>
      <w:r w:rsidRPr="005063D8">
        <w:rPr>
          <w:rFonts w:ascii="Poppins" w:hAnsi="Poppins" w:cs="Poppins"/>
          <w:sz w:val="20"/>
          <w:szCs w:val="20"/>
        </w:rPr>
        <w:t> that took place at the State Department late last week. In parallel, district courts are continuing to challenge the administration’s health decisions despite a previous Supreme Court ruling that seriously tampered with district level judges’ ability to implement nationwide injunctions. The most recent example comes from a D.C. district court that ruled the Trump Administration violated the Administrative Procedure Act in ordering the HHS to remove documents related to DEI and gender ideology.</w:t>
      </w:r>
    </w:p>
    <w:p w14:paraId="5FCF48EB" w14:textId="511007BA" w:rsidR="005063D8" w:rsidRPr="005063D8" w:rsidRDefault="005063D8" w:rsidP="00EA178C">
      <w:pPr>
        <w:spacing w:line="240" w:lineRule="auto"/>
        <w:rPr>
          <w:rFonts w:ascii="Poppins" w:hAnsi="Poppins" w:cs="Poppins"/>
          <w:sz w:val="20"/>
          <w:szCs w:val="20"/>
        </w:rPr>
      </w:pPr>
      <w:r w:rsidRPr="005063D8">
        <w:rPr>
          <w:rFonts w:ascii="Poppins" w:hAnsi="Poppins" w:cs="Poppins"/>
          <w:sz w:val="20"/>
          <w:szCs w:val="20"/>
        </w:rPr>
        <w:t>HHS </w:t>
      </w:r>
      <w:hyperlink r:id="rId29" w:tooltip="https://healthsperien.us19.list-manage.com/track/click?u=b80803827ec1d826bd16eace6&amp;id=f63ed5eb2e&amp;e=02f9a79650" w:history="1">
        <w:r w:rsidRPr="005063D8">
          <w:rPr>
            <w:rStyle w:val="Hyperlink"/>
            <w:rFonts w:ascii="Poppins" w:hAnsi="Poppins" w:cs="Poppins"/>
            <w:sz w:val="20"/>
            <w:szCs w:val="20"/>
          </w:rPr>
          <w:t>issued a notice</w:t>
        </w:r>
      </w:hyperlink>
      <w:r w:rsidRPr="005063D8">
        <w:rPr>
          <w:rFonts w:ascii="Poppins" w:hAnsi="Poppins" w:cs="Poppins"/>
          <w:sz w:val="20"/>
          <w:szCs w:val="20"/>
        </w:rPr>
        <w:t> late last week announcing the rescission of a 1998 guidance that defined certain publicly funded programs, like health clinics, in a way that allowed for undocumented immigrants to utilize them. The notice from HHS cited a 1996 law that said undocumented immigrants are not eligible for federal publics benefits, leading the department to argue the Clinton Administration violated the law in issuing the 1998 guidance. The recent HHS notice now restricts undocumented immigrants from utilizing Certified Community Behavioral Health Clinics, Health Center Programs, Health Workforce Programs, Community Mental Health Services Block Grant programs, Head Start, and more. This announcement from HHS came just a week after President Trump signed the </w:t>
      </w:r>
      <w:r w:rsidRPr="005063D8">
        <w:rPr>
          <w:rFonts w:ascii="Poppins" w:hAnsi="Poppins" w:cs="Poppins"/>
          <w:i/>
          <w:iCs/>
          <w:sz w:val="20"/>
          <w:szCs w:val="20"/>
        </w:rPr>
        <w:t>One Big Beautiful Bill Act </w:t>
      </w:r>
      <w:r w:rsidRPr="005063D8">
        <w:rPr>
          <w:rFonts w:ascii="Poppins" w:hAnsi="Poppins" w:cs="Poppins"/>
          <w:sz w:val="20"/>
          <w:szCs w:val="20"/>
        </w:rPr>
        <w:t xml:space="preserve">into law, which </w:t>
      </w:r>
      <w:r w:rsidRPr="005063D8">
        <w:rPr>
          <w:rFonts w:ascii="Poppins" w:hAnsi="Poppins" w:cs="Poppins"/>
          <w:sz w:val="20"/>
          <w:szCs w:val="20"/>
        </w:rPr>
        <w:lastRenderedPageBreak/>
        <w:t xml:space="preserve">substantially reduced undocumented </w:t>
      </w:r>
      <w:r w:rsidR="001909C8" w:rsidRPr="005063D8">
        <w:rPr>
          <w:rFonts w:ascii="Poppins" w:hAnsi="Poppins" w:cs="Poppins"/>
          <w:sz w:val="20"/>
          <w:szCs w:val="20"/>
        </w:rPr>
        <w:t>immigrants’</w:t>
      </w:r>
      <w:r w:rsidR="001909C8">
        <w:rPr>
          <w:rFonts w:ascii="Poppins" w:hAnsi="Poppins" w:cs="Poppins"/>
          <w:sz w:val="20"/>
          <w:szCs w:val="20"/>
        </w:rPr>
        <w:t xml:space="preserve"> ability</w:t>
      </w:r>
      <w:r w:rsidRPr="005063D8">
        <w:rPr>
          <w:rFonts w:ascii="Poppins" w:hAnsi="Poppins" w:cs="Poppins"/>
          <w:sz w:val="20"/>
          <w:szCs w:val="20"/>
        </w:rPr>
        <w:t xml:space="preserve"> to receive healthcare coverage from Medicaid.</w:t>
      </w:r>
    </w:p>
    <w:p w14:paraId="122110E2" w14:textId="5945E76A" w:rsidR="005063D8" w:rsidRPr="005063D8" w:rsidRDefault="005063D8" w:rsidP="001909C8">
      <w:pPr>
        <w:spacing w:line="240" w:lineRule="auto"/>
        <w:rPr>
          <w:rFonts w:ascii="Poppins" w:hAnsi="Poppins" w:cs="Poppins"/>
          <w:sz w:val="20"/>
          <w:szCs w:val="20"/>
        </w:rPr>
      </w:pPr>
      <w:r w:rsidRPr="005063D8">
        <w:rPr>
          <w:rFonts w:ascii="Poppins" w:hAnsi="Poppins" w:cs="Poppins"/>
          <w:sz w:val="20"/>
          <w:szCs w:val="20"/>
        </w:rPr>
        <w:t>Food and Drug Administration (FDA)</w:t>
      </w:r>
      <w:r w:rsidR="001909C8">
        <w:rPr>
          <w:rFonts w:ascii="Poppins" w:hAnsi="Poppins" w:cs="Poppins"/>
          <w:sz w:val="20"/>
          <w:szCs w:val="20"/>
        </w:rPr>
        <w:t xml:space="preserve"> Commissioner</w:t>
      </w:r>
      <w:r w:rsidRPr="005063D8">
        <w:rPr>
          <w:rFonts w:ascii="Poppins" w:hAnsi="Poppins" w:cs="Poppins"/>
          <w:sz w:val="20"/>
          <w:szCs w:val="20"/>
        </w:rPr>
        <w:t xml:space="preserve"> Marty Makary said that the </w:t>
      </w:r>
      <w:r w:rsidR="001909C8">
        <w:rPr>
          <w:rFonts w:ascii="Poppins" w:hAnsi="Poppins" w:cs="Poppins"/>
          <w:sz w:val="20"/>
          <w:szCs w:val="20"/>
        </w:rPr>
        <w:t>new</w:t>
      </w:r>
      <w:r w:rsidR="00A47CC6">
        <w:rPr>
          <w:rFonts w:ascii="Poppins" w:hAnsi="Poppins" w:cs="Poppins"/>
          <w:sz w:val="20"/>
          <w:szCs w:val="20"/>
        </w:rPr>
        <w:t xml:space="preserve"> </w:t>
      </w:r>
      <w:r w:rsidRPr="005063D8">
        <w:rPr>
          <w:rFonts w:ascii="Poppins" w:hAnsi="Poppins" w:cs="Poppins"/>
          <w:sz w:val="20"/>
          <w:szCs w:val="20"/>
        </w:rPr>
        <w:t>Commissioner’s National Priority Voucher (CNPV) Program </w:t>
      </w:r>
      <w:hyperlink r:id="rId30" w:tooltip="https://healthsperien.us19.list-manage.com/track/click?u=b80803827ec1d826bd16eace6&amp;id=e00335f798&amp;e=02f9a79650" w:history="1">
        <w:r w:rsidRPr="005063D8">
          <w:rPr>
            <w:rStyle w:val="Hyperlink"/>
            <w:rFonts w:ascii="Poppins" w:hAnsi="Poppins" w:cs="Poppins"/>
            <w:sz w:val="20"/>
            <w:szCs w:val="20"/>
          </w:rPr>
          <w:t>will offer</w:t>
        </w:r>
      </w:hyperlink>
      <w:r w:rsidRPr="005063D8">
        <w:rPr>
          <w:rFonts w:ascii="Poppins" w:hAnsi="Poppins" w:cs="Poppins"/>
          <w:sz w:val="20"/>
          <w:szCs w:val="20"/>
        </w:rPr>
        <w:t> vouchers to companies that voluntarily lower their US drug prices to match those of other developed nations within the Organization for Economic Cooperation and Development. The program allows for drug companies to redeem vouchers to participate in the novel priority review program, which FDA says will shorten review times from approximately 10-12 months to 1-2 months following a sponsor’s final drug application submission. The establishment of this program aligns closely with President Trump’s “most favored nation” drug pricing plan that aims to lower drug prices to the lowest average price charged to other wealthy countries</w:t>
      </w:r>
      <w:r>
        <w:rPr>
          <w:rFonts w:ascii="Poppins" w:hAnsi="Poppins" w:cs="Poppins"/>
          <w:sz w:val="20"/>
          <w:szCs w:val="20"/>
        </w:rPr>
        <w:t>.</w:t>
      </w:r>
    </w:p>
    <w:p w14:paraId="2CCE96E8" w14:textId="77777777" w:rsidR="003E4657" w:rsidRDefault="003E4657" w:rsidP="003E4657">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5D01E585" w14:textId="2C34D530" w:rsidR="00056692" w:rsidRPr="00056692" w:rsidRDefault="00056692" w:rsidP="00056692">
      <w:pPr>
        <w:numPr>
          <w:ilvl w:val="0"/>
          <w:numId w:val="3"/>
        </w:numPr>
        <w:shd w:val="clear" w:color="auto" w:fill="FFFFFF"/>
        <w:spacing w:beforeAutospacing="1" w:after="0" w:afterAutospacing="1" w:line="240" w:lineRule="auto"/>
        <w:rPr>
          <w:rFonts w:ascii="Poppins" w:hAnsi="Poppins" w:cs="Poppins"/>
          <w:color w:val="222222"/>
          <w:sz w:val="20"/>
          <w:szCs w:val="20"/>
        </w:rPr>
      </w:pPr>
      <w:r w:rsidRPr="00056692">
        <w:rPr>
          <w:rFonts w:ascii="Poppins" w:hAnsi="Poppins" w:cs="Poppins"/>
          <w:color w:val="222222"/>
          <w:sz w:val="20"/>
          <w:szCs w:val="20"/>
          <w:bdr w:val="none" w:sz="0" w:space="0" w:color="auto" w:frame="1"/>
        </w:rPr>
        <w:t>Wednesday, July 16th at 10:00am</w:t>
      </w:r>
      <w:r>
        <w:rPr>
          <w:rFonts w:ascii="Poppins" w:hAnsi="Poppins" w:cs="Poppins"/>
          <w:color w:val="222222"/>
          <w:sz w:val="20"/>
          <w:szCs w:val="20"/>
          <w:bdr w:val="none" w:sz="0" w:space="0" w:color="auto" w:frame="1"/>
        </w:rPr>
        <w:t xml:space="preserve"> </w:t>
      </w:r>
      <w:r w:rsidRPr="00056692">
        <w:rPr>
          <w:rFonts w:ascii="Poppins" w:hAnsi="Poppins" w:cs="Poppins"/>
          <w:color w:val="222222"/>
          <w:sz w:val="20"/>
          <w:szCs w:val="20"/>
          <w:bdr w:val="none" w:sz="0" w:space="0" w:color="auto" w:frame="1"/>
        </w:rPr>
        <w:t>|</w:t>
      </w:r>
      <w:r>
        <w:rPr>
          <w:rFonts w:ascii="Poppins" w:hAnsi="Poppins" w:cs="Poppins"/>
          <w:color w:val="222222"/>
          <w:sz w:val="20"/>
          <w:szCs w:val="20"/>
          <w:bdr w:val="none" w:sz="0" w:space="0" w:color="auto" w:frame="1"/>
        </w:rPr>
        <w:t xml:space="preserve"> </w:t>
      </w:r>
      <w:hyperlink r:id="rId31" w:tooltip="https://healthsperien.us19.list-manage.com/track/click?u=b80803827ec1d826bd16eace6&amp;id=bfd3282a77&amp;e=02f9a79650" w:history="1">
        <w:r w:rsidRPr="00056692">
          <w:rPr>
            <w:rStyle w:val="Hyperlink"/>
            <w:rFonts w:ascii="Poppins" w:hAnsi="Poppins" w:cs="Poppins"/>
            <w:color w:val="007C89"/>
            <w:sz w:val="20"/>
            <w:szCs w:val="20"/>
            <w:bdr w:val="none" w:sz="0" w:space="0" w:color="auto" w:frame="1"/>
          </w:rPr>
          <w:t>Senate Health, Education, Labor and Pensions Committee holds a hearing on the Nomination of Brian Christine to be Assistant Secretary of HHS</w:t>
        </w:r>
      </w:hyperlink>
      <w:r w:rsidRPr="00056692">
        <w:rPr>
          <w:rFonts w:ascii="Poppins" w:hAnsi="Poppins" w:cs="Poppins"/>
          <w:color w:val="222222"/>
          <w:sz w:val="20"/>
          <w:szCs w:val="20"/>
          <w:bdr w:val="none" w:sz="0" w:space="0" w:color="auto" w:frame="1"/>
        </w:rPr>
        <w:t> |</w:t>
      </w:r>
      <w:r>
        <w:rPr>
          <w:rFonts w:ascii="Poppins" w:hAnsi="Poppins" w:cs="Poppins"/>
          <w:color w:val="222222"/>
          <w:sz w:val="20"/>
          <w:szCs w:val="20"/>
          <w:bdr w:val="none" w:sz="0" w:space="0" w:color="auto" w:frame="1"/>
        </w:rPr>
        <w:t xml:space="preserve"> </w:t>
      </w:r>
      <w:r w:rsidRPr="00056692">
        <w:rPr>
          <w:rFonts w:ascii="Poppins" w:hAnsi="Poppins" w:cs="Poppins"/>
          <w:color w:val="222222"/>
          <w:sz w:val="20"/>
          <w:szCs w:val="20"/>
          <w:bdr w:val="none" w:sz="0" w:space="0" w:color="auto" w:frame="1"/>
        </w:rPr>
        <w:t>430 Dirksen Senate Office Building</w:t>
      </w:r>
    </w:p>
    <w:p w14:paraId="2DF047CF" w14:textId="4BFD4C54" w:rsidR="00B0405D" w:rsidRPr="00056692" w:rsidRDefault="00056692" w:rsidP="00056692">
      <w:pPr>
        <w:numPr>
          <w:ilvl w:val="0"/>
          <w:numId w:val="3"/>
        </w:numPr>
        <w:shd w:val="clear" w:color="auto" w:fill="FFFFFF"/>
        <w:spacing w:beforeAutospacing="1" w:after="0" w:afterAutospacing="1" w:line="240" w:lineRule="auto"/>
        <w:rPr>
          <w:rFonts w:ascii="Poppins" w:hAnsi="Poppins" w:cs="Poppins"/>
          <w:color w:val="222222"/>
          <w:sz w:val="20"/>
          <w:szCs w:val="20"/>
        </w:rPr>
      </w:pPr>
      <w:r w:rsidRPr="00056692">
        <w:rPr>
          <w:rFonts w:ascii="Poppins" w:hAnsi="Poppins" w:cs="Poppins"/>
          <w:color w:val="222222"/>
          <w:sz w:val="20"/>
          <w:szCs w:val="20"/>
          <w:bdr w:val="none" w:sz="0" w:space="0" w:color="auto" w:frame="1"/>
        </w:rPr>
        <w:t>Wednesday, July 16</w:t>
      </w:r>
      <w:r w:rsidRPr="00056692">
        <w:rPr>
          <w:rFonts w:ascii="Poppins" w:hAnsi="Poppins" w:cs="Poppins"/>
          <w:color w:val="222222"/>
          <w:sz w:val="20"/>
          <w:szCs w:val="20"/>
          <w:bdr w:val="none" w:sz="0" w:space="0" w:color="auto" w:frame="1"/>
          <w:vertAlign w:val="superscript"/>
        </w:rPr>
        <w:t>th</w:t>
      </w:r>
      <w:r w:rsidRPr="00056692">
        <w:rPr>
          <w:rFonts w:ascii="Poppins" w:hAnsi="Poppins" w:cs="Poppins"/>
          <w:color w:val="222222"/>
          <w:sz w:val="20"/>
          <w:szCs w:val="20"/>
          <w:bdr w:val="none" w:sz="0" w:space="0" w:color="auto" w:frame="1"/>
        </w:rPr>
        <w:t> at 10:00am</w:t>
      </w:r>
      <w:r>
        <w:rPr>
          <w:rFonts w:ascii="Poppins" w:hAnsi="Poppins" w:cs="Poppins"/>
          <w:color w:val="222222"/>
          <w:sz w:val="20"/>
          <w:szCs w:val="20"/>
          <w:bdr w:val="none" w:sz="0" w:space="0" w:color="auto" w:frame="1"/>
        </w:rPr>
        <w:t xml:space="preserve"> </w:t>
      </w:r>
      <w:r w:rsidRPr="00056692">
        <w:rPr>
          <w:rFonts w:ascii="Poppins" w:hAnsi="Poppins" w:cs="Poppins"/>
          <w:color w:val="222222"/>
          <w:sz w:val="20"/>
          <w:szCs w:val="20"/>
          <w:bdr w:val="none" w:sz="0" w:space="0" w:color="auto" w:frame="1"/>
        </w:rPr>
        <w:t>|</w:t>
      </w:r>
      <w:r>
        <w:rPr>
          <w:rFonts w:ascii="Poppins" w:hAnsi="Poppins" w:cs="Poppins"/>
          <w:color w:val="222222"/>
          <w:sz w:val="20"/>
          <w:szCs w:val="20"/>
          <w:bdr w:val="none" w:sz="0" w:space="0" w:color="auto" w:frame="1"/>
        </w:rPr>
        <w:t xml:space="preserve"> </w:t>
      </w:r>
      <w:hyperlink r:id="rId32" w:tooltip="https://healthsperien.us19.list-manage.com/track/click?u=b80803827ec1d826bd16eace6&amp;id=eba39cfd81&amp;e=02f9a79650" w:history="1">
        <w:r w:rsidRPr="00056692">
          <w:rPr>
            <w:rStyle w:val="Hyperlink"/>
            <w:rFonts w:ascii="Poppins" w:hAnsi="Poppins" w:cs="Poppins"/>
            <w:color w:val="007C89"/>
            <w:sz w:val="20"/>
            <w:szCs w:val="20"/>
            <w:bdr w:val="none" w:sz="0" w:space="0" w:color="auto" w:frame="1"/>
          </w:rPr>
          <w:t>House Committee on Energy and Commerce holds a hearing on Legislative Proposals to Maintain and Improve the Public Health Workforce, Rural Health, and Over-the-Counter Medicines</w:t>
        </w:r>
      </w:hyperlink>
      <w:r>
        <w:rPr>
          <w:rFonts w:ascii="Poppins" w:hAnsi="Poppins" w:cs="Poppins"/>
          <w:color w:val="222222"/>
          <w:sz w:val="20"/>
          <w:szCs w:val="20"/>
          <w:bdr w:val="none" w:sz="0" w:space="0" w:color="auto" w:frame="1"/>
        </w:rPr>
        <w:t xml:space="preserve"> </w:t>
      </w:r>
      <w:r w:rsidRPr="00056692">
        <w:rPr>
          <w:rFonts w:ascii="Poppins" w:hAnsi="Poppins" w:cs="Poppins"/>
          <w:color w:val="222222"/>
          <w:sz w:val="20"/>
          <w:szCs w:val="20"/>
          <w:bdr w:val="none" w:sz="0" w:space="0" w:color="auto" w:frame="1"/>
        </w:rPr>
        <w:t>|</w:t>
      </w:r>
      <w:r>
        <w:rPr>
          <w:rFonts w:ascii="Poppins" w:hAnsi="Poppins" w:cs="Poppins"/>
          <w:color w:val="222222"/>
          <w:sz w:val="20"/>
          <w:szCs w:val="20"/>
          <w:bdr w:val="none" w:sz="0" w:space="0" w:color="auto" w:frame="1"/>
        </w:rPr>
        <w:t xml:space="preserve"> </w:t>
      </w:r>
      <w:r w:rsidRPr="00056692">
        <w:rPr>
          <w:rFonts w:ascii="Poppins" w:hAnsi="Poppins" w:cs="Poppins"/>
          <w:color w:val="222222"/>
          <w:sz w:val="20"/>
          <w:szCs w:val="20"/>
          <w:bdr w:val="none" w:sz="0" w:space="0" w:color="auto" w:frame="1"/>
        </w:rPr>
        <w:t>2123 Rayburn House Office Building</w:t>
      </w:r>
    </w:p>
    <w:sectPr w:rsidR="00B0405D" w:rsidRPr="0005669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0822" w14:textId="77777777" w:rsidR="000B2283" w:rsidRDefault="000B2283" w:rsidP="00715EA6">
      <w:pPr>
        <w:spacing w:after="0" w:line="240" w:lineRule="auto"/>
      </w:pPr>
      <w:r>
        <w:separator/>
      </w:r>
    </w:p>
  </w:endnote>
  <w:endnote w:type="continuationSeparator" w:id="0">
    <w:p w14:paraId="5134D1A5" w14:textId="77777777" w:rsidR="000B2283" w:rsidRDefault="000B2283"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A4C7A" w14:textId="77777777" w:rsidR="000B2283" w:rsidRDefault="000B2283" w:rsidP="00715EA6">
      <w:pPr>
        <w:spacing w:after="0" w:line="240" w:lineRule="auto"/>
      </w:pPr>
      <w:r>
        <w:separator/>
      </w:r>
    </w:p>
  </w:footnote>
  <w:footnote w:type="continuationSeparator" w:id="0">
    <w:p w14:paraId="0A8A326D" w14:textId="77777777" w:rsidR="000B2283" w:rsidRDefault="000B2283"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E15CE"/>
    <w:multiLevelType w:val="multilevel"/>
    <w:tmpl w:val="7114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DF78E2"/>
    <w:multiLevelType w:val="multilevel"/>
    <w:tmpl w:val="6F02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4"/>
  </w:num>
  <w:num w:numId="2" w16cid:durableId="1750274782">
    <w:abstractNumId w:val="3"/>
  </w:num>
  <w:num w:numId="3" w16cid:durableId="534511944">
    <w:abstractNumId w:val="0"/>
  </w:num>
  <w:num w:numId="4" w16cid:durableId="1391227378">
    <w:abstractNumId w:val="1"/>
  </w:num>
  <w:num w:numId="5" w16cid:durableId="1788045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3FDF"/>
    <w:rsid w:val="00040849"/>
    <w:rsid w:val="00056692"/>
    <w:rsid w:val="00067BD7"/>
    <w:rsid w:val="000B2283"/>
    <w:rsid w:val="000C0545"/>
    <w:rsid w:val="000C2216"/>
    <w:rsid w:val="000C22C3"/>
    <w:rsid w:val="00125D4B"/>
    <w:rsid w:val="00140A74"/>
    <w:rsid w:val="00185A89"/>
    <w:rsid w:val="001909C8"/>
    <w:rsid w:val="001E033A"/>
    <w:rsid w:val="001F5E4C"/>
    <w:rsid w:val="00205126"/>
    <w:rsid w:val="00234819"/>
    <w:rsid w:val="00236A3B"/>
    <w:rsid w:val="00240B8D"/>
    <w:rsid w:val="00284422"/>
    <w:rsid w:val="002A5070"/>
    <w:rsid w:val="00307DA2"/>
    <w:rsid w:val="00313166"/>
    <w:rsid w:val="00313320"/>
    <w:rsid w:val="00320DE6"/>
    <w:rsid w:val="003A0EB5"/>
    <w:rsid w:val="003E4657"/>
    <w:rsid w:val="003F6DE9"/>
    <w:rsid w:val="00407724"/>
    <w:rsid w:val="00430142"/>
    <w:rsid w:val="00451A03"/>
    <w:rsid w:val="004616F6"/>
    <w:rsid w:val="00491299"/>
    <w:rsid w:val="004B1C94"/>
    <w:rsid w:val="004D1916"/>
    <w:rsid w:val="004F23F4"/>
    <w:rsid w:val="005063D8"/>
    <w:rsid w:val="00520875"/>
    <w:rsid w:val="0053438E"/>
    <w:rsid w:val="005710E3"/>
    <w:rsid w:val="00583599"/>
    <w:rsid w:val="005D1F03"/>
    <w:rsid w:val="005E1304"/>
    <w:rsid w:val="00617A48"/>
    <w:rsid w:val="00630D66"/>
    <w:rsid w:val="00690EEF"/>
    <w:rsid w:val="006C4838"/>
    <w:rsid w:val="006E7776"/>
    <w:rsid w:val="007065F4"/>
    <w:rsid w:val="00715EA6"/>
    <w:rsid w:val="00751BEF"/>
    <w:rsid w:val="007C5504"/>
    <w:rsid w:val="007F4C48"/>
    <w:rsid w:val="00825558"/>
    <w:rsid w:val="00854B47"/>
    <w:rsid w:val="00862612"/>
    <w:rsid w:val="0087107C"/>
    <w:rsid w:val="00876819"/>
    <w:rsid w:val="008A303F"/>
    <w:rsid w:val="008B2BAC"/>
    <w:rsid w:val="008D009D"/>
    <w:rsid w:val="00927174"/>
    <w:rsid w:val="0093287C"/>
    <w:rsid w:val="00935568"/>
    <w:rsid w:val="00944B2D"/>
    <w:rsid w:val="00947EBC"/>
    <w:rsid w:val="0097202C"/>
    <w:rsid w:val="009A273D"/>
    <w:rsid w:val="009B5C24"/>
    <w:rsid w:val="00A0450A"/>
    <w:rsid w:val="00A155E5"/>
    <w:rsid w:val="00A17786"/>
    <w:rsid w:val="00A47CC6"/>
    <w:rsid w:val="00A53956"/>
    <w:rsid w:val="00A7138F"/>
    <w:rsid w:val="00A76DD2"/>
    <w:rsid w:val="00AB0B1A"/>
    <w:rsid w:val="00AC4C31"/>
    <w:rsid w:val="00AE70BF"/>
    <w:rsid w:val="00B0405D"/>
    <w:rsid w:val="00B1188B"/>
    <w:rsid w:val="00B25FD2"/>
    <w:rsid w:val="00B26D5B"/>
    <w:rsid w:val="00B72987"/>
    <w:rsid w:val="00B8214D"/>
    <w:rsid w:val="00B92207"/>
    <w:rsid w:val="00BA7F6E"/>
    <w:rsid w:val="00BD1FA6"/>
    <w:rsid w:val="00C04E8F"/>
    <w:rsid w:val="00C30425"/>
    <w:rsid w:val="00C3042C"/>
    <w:rsid w:val="00C52217"/>
    <w:rsid w:val="00C6341F"/>
    <w:rsid w:val="00C76688"/>
    <w:rsid w:val="00CB7955"/>
    <w:rsid w:val="00CF006A"/>
    <w:rsid w:val="00D40CD9"/>
    <w:rsid w:val="00DA79B2"/>
    <w:rsid w:val="00DD4B0F"/>
    <w:rsid w:val="00DD7A4D"/>
    <w:rsid w:val="00DE3D45"/>
    <w:rsid w:val="00E2066D"/>
    <w:rsid w:val="00E30E4D"/>
    <w:rsid w:val="00E81A15"/>
    <w:rsid w:val="00E95F0D"/>
    <w:rsid w:val="00EA178C"/>
    <w:rsid w:val="00EB40E9"/>
    <w:rsid w:val="00EC0727"/>
    <w:rsid w:val="00ED29F3"/>
    <w:rsid w:val="00ED5A91"/>
    <w:rsid w:val="00ED6818"/>
    <w:rsid w:val="00EE10DE"/>
    <w:rsid w:val="00EE11BE"/>
    <w:rsid w:val="00EF3EEA"/>
    <w:rsid w:val="00F1055E"/>
    <w:rsid w:val="00F31B3E"/>
    <w:rsid w:val="00F448DC"/>
    <w:rsid w:val="00F57DAE"/>
    <w:rsid w:val="00F84A41"/>
    <w:rsid w:val="00F97FFA"/>
    <w:rsid w:val="00FA361A"/>
    <w:rsid w:val="00FA586B"/>
    <w:rsid w:val="00FF1C07"/>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NormalWeb">
    <w:name w:val="Normal (Web)"/>
    <w:basedOn w:val="Normal"/>
    <w:uiPriority w:val="99"/>
    <w:semiHidden/>
    <w:unhideWhenUsed/>
    <w:rsid w:val="00B1188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0523">
      <w:bodyDiv w:val="1"/>
      <w:marLeft w:val="0"/>
      <w:marRight w:val="0"/>
      <w:marTop w:val="0"/>
      <w:marBottom w:val="0"/>
      <w:divBdr>
        <w:top w:val="none" w:sz="0" w:space="0" w:color="auto"/>
        <w:left w:val="none" w:sz="0" w:space="0" w:color="auto"/>
        <w:bottom w:val="none" w:sz="0" w:space="0" w:color="auto"/>
        <w:right w:val="none" w:sz="0" w:space="0" w:color="auto"/>
      </w:divBdr>
    </w:div>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569274783">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642778281">
      <w:bodyDiv w:val="1"/>
      <w:marLeft w:val="0"/>
      <w:marRight w:val="0"/>
      <w:marTop w:val="0"/>
      <w:marBottom w:val="0"/>
      <w:divBdr>
        <w:top w:val="none" w:sz="0" w:space="0" w:color="auto"/>
        <w:left w:val="none" w:sz="0" w:space="0" w:color="auto"/>
        <w:bottom w:val="none" w:sz="0" w:space="0" w:color="auto"/>
        <w:right w:val="none" w:sz="0" w:space="0" w:color="auto"/>
      </w:divBdr>
    </w:div>
    <w:div w:id="740564808">
      <w:bodyDiv w:val="1"/>
      <w:marLeft w:val="0"/>
      <w:marRight w:val="0"/>
      <w:marTop w:val="0"/>
      <w:marBottom w:val="0"/>
      <w:divBdr>
        <w:top w:val="none" w:sz="0" w:space="0" w:color="auto"/>
        <w:left w:val="none" w:sz="0" w:space="0" w:color="auto"/>
        <w:bottom w:val="none" w:sz="0" w:space="0" w:color="auto"/>
        <w:right w:val="none" w:sz="0" w:space="0" w:color="auto"/>
      </w:divBdr>
    </w:div>
    <w:div w:id="747926280">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007711621">
      <w:bodyDiv w:val="1"/>
      <w:marLeft w:val="0"/>
      <w:marRight w:val="0"/>
      <w:marTop w:val="0"/>
      <w:marBottom w:val="0"/>
      <w:divBdr>
        <w:top w:val="none" w:sz="0" w:space="0" w:color="auto"/>
        <w:left w:val="none" w:sz="0" w:space="0" w:color="auto"/>
        <w:bottom w:val="none" w:sz="0" w:space="0" w:color="auto"/>
        <w:right w:val="none" w:sz="0" w:space="0" w:color="auto"/>
      </w:divBdr>
    </w:div>
    <w:div w:id="1113666508">
      <w:bodyDiv w:val="1"/>
      <w:marLeft w:val="0"/>
      <w:marRight w:val="0"/>
      <w:marTop w:val="0"/>
      <w:marBottom w:val="0"/>
      <w:divBdr>
        <w:top w:val="none" w:sz="0" w:space="0" w:color="auto"/>
        <w:left w:val="none" w:sz="0" w:space="0" w:color="auto"/>
        <w:bottom w:val="none" w:sz="0" w:space="0" w:color="auto"/>
        <w:right w:val="none" w:sz="0" w:space="0" w:color="auto"/>
      </w:divBdr>
    </w:div>
    <w:div w:id="1131752578">
      <w:bodyDiv w:val="1"/>
      <w:marLeft w:val="0"/>
      <w:marRight w:val="0"/>
      <w:marTop w:val="0"/>
      <w:marBottom w:val="0"/>
      <w:divBdr>
        <w:top w:val="none" w:sz="0" w:space="0" w:color="auto"/>
        <w:left w:val="none" w:sz="0" w:space="0" w:color="auto"/>
        <w:bottom w:val="none" w:sz="0" w:space="0" w:color="auto"/>
        <w:right w:val="none" w:sz="0" w:space="0" w:color="auto"/>
      </w:divBdr>
    </w:div>
    <w:div w:id="1173640828">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222137443">
      <w:bodyDiv w:val="1"/>
      <w:marLeft w:val="0"/>
      <w:marRight w:val="0"/>
      <w:marTop w:val="0"/>
      <w:marBottom w:val="0"/>
      <w:divBdr>
        <w:top w:val="none" w:sz="0" w:space="0" w:color="auto"/>
        <w:left w:val="none" w:sz="0" w:space="0" w:color="auto"/>
        <w:bottom w:val="none" w:sz="0" w:space="0" w:color="auto"/>
        <w:right w:val="none" w:sz="0" w:space="0" w:color="auto"/>
      </w:divBdr>
    </w:div>
    <w:div w:id="1269237863">
      <w:bodyDiv w:val="1"/>
      <w:marLeft w:val="0"/>
      <w:marRight w:val="0"/>
      <w:marTop w:val="0"/>
      <w:marBottom w:val="0"/>
      <w:divBdr>
        <w:top w:val="none" w:sz="0" w:space="0" w:color="auto"/>
        <w:left w:val="none" w:sz="0" w:space="0" w:color="auto"/>
        <w:bottom w:val="none" w:sz="0" w:space="0" w:color="auto"/>
        <w:right w:val="none" w:sz="0" w:space="0" w:color="auto"/>
      </w:divBdr>
    </w:div>
    <w:div w:id="1321347269">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449873">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597596559">
      <w:bodyDiv w:val="1"/>
      <w:marLeft w:val="0"/>
      <w:marRight w:val="0"/>
      <w:marTop w:val="0"/>
      <w:marBottom w:val="0"/>
      <w:divBdr>
        <w:top w:val="none" w:sz="0" w:space="0" w:color="auto"/>
        <w:left w:val="none" w:sz="0" w:space="0" w:color="auto"/>
        <w:bottom w:val="none" w:sz="0" w:space="0" w:color="auto"/>
        <w:right w:val="none" w:sz="0" w:space="0" w:color="auto"/>
      </w:divBdr>
    </w:div>
    <w:div w:id="1648827360">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721710561">
      <w:bodyDiv w:val="1"/>
      <w:marLeft w:val="0"/>
      <w:marRight w:val="0"/>
      <w:marTop w:val="0"/>
      <w:marBottom w:val="0"/>
      <w:divBdr>
        <w:top w:val="none" w:sz="0" w:space="0" w:color="auto"/>
        <w:left w:val="none" w:sz="0" w:space="0" w:color="auto"/>
        <w:bottom w:val="none" w:sz="0" w:space="0" w:color="auto"/>
        <w:right w:val="none" w:sz="0" w:space="0" w:color="auto"/>
      </w:divBdr>
    </w:div>
    <w:div w:id="1780180543">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1972707762">
      <w:bodyDiv w:val="1"/>
      <w:marLeft w:val="0"/>
      <w:marRight w:val="0"/>
      <w:marTop w:val="0"/>
      <w:marBottom w:val="0"/>
      <w:divBdr>
        <w:top w:val="none" w:sz="0" w:space="0" w:color="auto"/>
        <w:left w:val="none" w:sz="0" w:space="0" w:color="auto"/>
        <w:bottom w:val="none" w:sz="0" w:space="0" w:color="auto"/>
        <w:right w:val="none" w:sz="0" w:space="0" w:color="auto"/>
      </w:divBdr>
    </w:div>
    <w:div w:id="2113667530">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sperien.us19.list-manage.com/track/click?u=b80803827ec1d826bd16eace6&amp;id=110c9d1221&amp;e=02f9a79650" TargetMode="External"/><Relationship Id="rId18" Type="http://schemas.openxmlformats.org/officeDocument/2006/relationships/hyperlink" Target="https://apse.org/wp-content/uploads/2024/08/APSE-14c-Update-REV-Jul24.pdf" TargetMode="External"/><Relationship Id="rId26" Type="http://schemas.openxmlformats.org/officeDocument/2006/relationships/hyperlink" Target="https://endassistedsuicide.org/wp-content/uploads/2025/06/Dkt-001-Complaint-06-30-2025-1694-3.pdf" TargetMode="Externa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afe4595c1e&amp;e=02f9a79650"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healthsperien.us19.list-manage.com/track/click?u=b80803827ec1d826bd16eace6&amp;id=4f31a808d6&amp;e=02f9a79650" TargetMode="External"/><Relationship Id="rId17" Type="http://schemas.openxmlformats.org/officeDocument/2006/relationships/hyperlink" Target="https://www.urban.org/urban-wire/its-legal-some-employers-pay-disabled-workers-less-minimum-wage-ending-practice-just" TargetMode="External"/><Relationship Id="rId25" Type="http://schemas.openxmlformats.org/officeDocument/2006/relationships/hyperlink" Target="https://healthsperien.us19.list-manage.com/track/click?u=b80803827ec1d826bd16eace6&amp;id=dbe236615f&amp;e=02f9a79650"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federalregister.gov/documents/2024/12/04/2024-27880/employment-of-workers-with-disabilities-under-section-14c-of-the-fair-labor-standards-act" TargetMode="External"/><Relationship Id="rId20" Type="http://schemas.openxmlformats.org/officeDocument/2006/relationships/hyperlink" Target="https://www.contemporarypediatrics.com/view/aap-updates-guidance-on-genetic-testing-for-developmental-delay" TargetMode="External"/><Relationship Id="rId29" Type="http://schemas.openxmlformats.org/officeDocument/2006/relationships/hyperlink" Target="https://healthsperien.us19.list-manage.com/track/click?u=b80803827ec1d826bd16eace6&amp;id=f63ed5eb2e&amp;e=02f9a796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perien.us19.list-manage.com/track/click?u=b80803827ec1d826bd16eace6&amp;id=f861a831f8&amp;e=02f9a79650" TargetMode="External"/><Relationship Id="rId24" Type="http://schemas.openxmlformats.org/officeDocument/2006/relationships/hyperlink" Target="https://healthsperien.us19.list-manage.com/track/click?u=b80803827ec1d826bd16eace6&amp;id=36afcb8e71&amp;e=02f9a79650" TargetMode="External"/><Relationship Id="rId32" Type="http://schemas.openxmlformats.org/officeDocument/2006/relationships/hyperlink" Target="https://healthsperien.us19.list-manage.com/track/click?u=b80803827ec1d826bd16eace6&amp;id=eba39cfd81&amp;e=02f9a79650" TargetMode="External"/><Relationship Id="rId5" Type="http://schemas.openxmlformats.org/officeDocument/2006/relationships/footnotes" Target="footnotes.xml"/><Relationship Id="rId15" Type="http://schemas.openxmlformats.org/officeDocument/2006/relationships/hyperlink" Target="https://public-inspection.federalregister.gov/2025-12534.pdf?utm_campaign=pi+subscription+mailing+list&amp;utm_medium=email&amp;utm_source=federalregister.gov" TargetMode="External"/><Relationship Id="rId23" Type="http://schemas.openxmlformats.org/officeDocument/2006/relationships/hyperlink" Target="https://healthsperien.us19.list-manage.com/track/click?u=b80803827ec1d826bd16eace6&amp;id=d77d8a7d5f&amp;e=02f9a79650" TargetMode="External"/><Relationship Id="rId28" Type="http://schemas.openxmlformats.org/officeDocument/2006/relationships/hyperlink" Target="https://healthsperien.us19.list-manage.com/track/click?u=b80803827ec1d826bd16eace6&amp;id=2b2ecc3ff8&amp;e=02f9a79650" TargetMode="External"/><Relationship Id="rId10" Type="http://schemas.openxmlformats.org/officeDocument/2006/relationships/hyperlink" Target="https://healthsperien.us19.list-manage.com/track/click?u=b80803827ec1d826bd16eace6&amp;id=d4336e6856&amp;e=02f9a79650" TargetMode="External"/><Relationship Id="rId19" Type="http://schemas.openxmlformats.org/officeDocument/2006/relationships/hyperlink" Target="https://www.gao.gov/assets/820/817181.pdf?itid=lk_inline_enhanced-template" TargetMode="External"/><Relationship Id="rId31" Type="http://schemas.openxmlformats.org/officeDocument/2006/relationships/hyperlink" Target="https://healthsperien.us19.list-manage.com/track/click?u=b80803827ec1d826bd16eace6&amp;id=bfd3282a77&amp;e=02f9a79650" TargetMode="External"/><Relationship Id="rId4" Type="http://schemas.openxmlformats.org/officeDocument/2006/relationships/webSettings" Target="webSettings.xml"/><Relationship Id="rId9" Type="http://schemas.openxmlformats.org/officeDocument/2006/relationships/hyperlink" Target="https://healthsperien.us19.list-manage.com/track/click?u=b80803827ec1d826bd16eace6&amp;id=8abdadea8a&amp;e=02f9a79650" TargetMode="External"/><Relationship Id="rId14" Type="http://schemas.openxmlformats.org/officeDocument/2006/relationships/hyperlink" Target="https://healthsperien.us19.list-manage.com/track/click?u=b80803827ec1d826bd16eace6&amp;id=6e1b397748&amp;e=02f9a79650" TargetMode="External"/><Relationship Id="rId22" Type="http://schemas.openxmlformats.org/officeDocument/2006/relationships/hyperlink" Target="https://healthsperien.us19.list-manage.com/track/click?u=b80803827ec1d826bd16eace6&amp;id=2a1364e929&amp;e=02f9a79650" TargetMode="External"/><Relationship Id="rId27" Type="http://schemas.openxmlformats.org/officeDocument/2006/relationships/hyperlink" Target="https://healthsperien.us19.list-manage.com/track/click?u=b80803827ec1d826bd16eace6&amp;id=174eb21426&amp;e=02f9a79650" TargetMode="External"/><Relationship Id="rId30" Type="http://schemas.openxmlformats.org/officeDocument/2006/relationships/hyperlink" Target="https://healthsperien.us19.list-manage.com/track/click?u=b80803827ec1d826bd16eace6&amp;id=e00335f798&amp;e=02f9a79650" TargetMode="External"/><Relationship Id="rId35" Type="http://schemas.openxmlformats.org/officeDocument/2006/relationships/theme" Target="theme/theme1.xml"/><Relationship Id="rId8" Type="http://schemas.openxmlformats.org/officeDocument/2006/relationships/hyperlink" Target="https://healthsperien.us19.list-manage.com/track/click?u=b80803827ec1d826bd16eace6&amp;id=82b73605b1&amp;e=02f9a79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2917</Words>
  <Characters>16631</Characters>
  <Application>Microsoft Office Word</Application>
  <DocSecurity>0</DocSecurity>
  <Lines>138</Lines>
  <Paragraphs>39</Paragraphs>
  <ScaleCrop>false</ScaleCrop>
  <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2025-07-14T19:29:00Z</dcterms:created>
  <dcterms:modified xsi:type="dcterms:W3CDTF">2025-07-14T19:29:00Z</dcterms:modified>
</cp:coreProperties>
</file>