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751611" w14:textId="58A0425D" w:rsidR="0028334B" w:rsidRPr="0059352F" w:rsidRDefault="00715EA6" w:rsidP="0059352F">
      <w:pPr>
        <w:pStyle w:val="Heading1"/>
        <w:rPr>
          <w:rFonts w:ascii="Poppins SemiBold" w:hAnsi="Poppins SemiBold" w:cs="Poppins SemiBold"/>
          <w:noProof/>
          <w:sz w:val="32"/>
          <w:szCs w:val="32"/>
        </w:rPr>
      </w:pPr>
      <w:r w:rsidRPr="00DA1ED7">
        <w:rPr>
          <w:rFonts w:ascii="Poppins SemiBold" w:hAnsi="Poppins SemiBold" w:cs="Poppins SemiBold"/>
          <w:noProof/>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78C92759" w:rsidRPr="78C92759">
        <w:rPr>
          <w:rFonts w:ascii="Poppins SemiBold" w:hAnsi="Poppins SemiBold"/>
          <w:sz w:val="32"/>
          <w:szCs w:val="32"/>
        </w:rPr>
        <w:t>January 2</w:t>
      </w:r>
      <w:r w:rsidR="0059352F">
        <w:rPr>
          <w:rFonts w:ascii="Poppins SemiBold" w:hAnsi="Poppins SemiBold"/>
          <w:sz w:val="32"/>
          <w:szCs w:val="32"/>
        </w:rPr>
        <w:t>1</w:t>
      </w:r>
      <w:r w:rsidR="78C92759" w:rsidRPr="78C92759">
        <w:rPr>
          <w:rFonts w:ascii="Poppins SemiBold" w:hAnsi="Poppins SemiBold"/>
          <w:sz w:val="32"/>
          <w:szCs w:val="32"/>
        </w:rPr>
        <w:t>, 2025</w:t>
      </w:r>
    </w:p>
    <w:p w14:paraId="1EEC39F8" w14:textId="18A27203" w:rsidR="00BC60C2" w:rsidRDefault="00BC60C2" w:rsidP="00BC60C2">
      <w:pPr>
        <w:keepNext/>
        <w:keepLines/>
        <w:rPr>
          <w:rFonts w:ascii="Poppins" w:hAnsi="Poppins" w:cs="Poppins"/>
          <w:sz w:val="20"/>
          <w:szCs w:val="20"/>
        </w:rPr>
      </w:pPr>
      <w:r>
        <w:rPr>
          <w:rFonts w:ascii="Poppins SemiBold" w:hAnsi="Poppins SemiBold"/>
          <w:color w:val="2F5496" w:themeColor="accent1" w:themeShade="BF"/>
          <w:sz w:val="24"/>
          <w:szCs w:val="24"/>
        </w:rPr>
        <w:t xml:space="preserve">EEOC Sues Sam’s Club for Disability Discrimination </w:t>
      </w:r>
    </w:p>
    <w:p w14:paraId="7297F786" w14:textId="2AFC8CE5" w:rsidR="00BC60C2" w:rsidRPr="00BC60C2" w:rsidRDefault="00BC60C2" w:rsidP="00BC60C2">
      <w:pPr>
        <w:keepNext/>
        <w:keepLines/>
        <w:rPr>
          <w:rFonts w:ascii="Poppins" w:hAnsi="Poppins" w:cs="Poppins"/>
          <w:sz w:val="20"/>
          <w:szCs w:val="20"/>
        </w:rPr>
      </w:pPr>
      <w:r w:rsidRPr="00BC60C2">
        <w:rPr>
          <w:rFonts w:ascii="Poppins" w:hAnsi="Poppins" w:cs="Poppins"/>
          <w:sz w:val="20"/>
          <w:szCs w:val="20"/>
        </w:rPr>
        <w:t xml:space="preserve">The U.S. Equal Employment Opportunity Commission (EEOC) </w:t>
      </w:r>
      <w:hyperlink r:id="rId8">
        <w:r w:rsidRPr="00BC60C2">
          <w:rPr>
            <w:rStyle w:val="Hyperlink"/>
            <w:rFonts w:ascii="Poppins" w:hAnsi="Poppins" w:cs="Poppins"/>
            <w:sz w:val="20"/>
            <w:szCs w:val="20"/>
          </w:rPr>
          <w:t>fi</w:t>
        </w:r>
        <w:r w:rsidRPr="00BC60C2">
          <w:rPr>
            <w:rStyle w:val="Hyperlink"/>
            <w:rFonts w:ascii="Poppins" w:hAnsi="Poppins" w:cs="Poppins"/>
            <w:sz w:val="20"/>
            <w:szCs w:val="20"/>
          </w:rPr>
          <w:t>l</w:t>
        </w:r>
        <w:r w:rsidRPr="00BC60C2">
          <w:rPr>
            <w:rStyle w:val="Hyperlink"/>
            <w:rFonts w:ascii="Poppins" w:hAnsi="Poppins" w:cs="Poppins"/>
            <w:sz w:val="20"/>
            <w:szCs w:val="20"/>
          </w:rPr>
          <w:t>ed</w:t>
        </w:r>
      </w:hyperlink>
      <w:r w:rsidRPr="00BC60C2">
        <w:rPr>
          <w:rFonts w:ascii="Poppins" w:hAnsi="Poppins" w:cs="Poppins"/>
          <w:sz w:val="20"/>
          <w:szCs w:val="20"/>
        </w:rPr>
        <w:t xml:space="preserve"> a lawsuit against Sam’s East, Inc. and Walmart Inc., which operate a chain of retail stores known as Sam’s Club, for disability discrimination. In 2022, a Sam’s Club employee sought to return to her associate position at a Douglasville, Georgia, store following medical leave due to severe back and head injuries obtained during an automobile accident. After one shift, the employee was informed that she could not work with restrictions and would need to take a leave of absence until those restrictions were lifted. Subsequently, Sam’s Club denied the </w:t>
      </w:r>
      <w:proofErr w:type="gramStart"/>
      <w:r w:rsidRPr="00BC60C2">
        <w:rPr>
          <w:rFonts w:ascii="Poppins" w:hAnsi="Poppins" w:cs="Poppins"/>
          <w:sz w:val="20"/>
          <w:szCs w:val="20"/>
        </w:rPr>
        <w:t>employee’s</w:t>
      </w:r>
      <w:proofErr w:type="gramEnd"/>
      <w:r w:rsidRPr="00BC60C2">
        <w:rPr>
          <w:rFonts w:ascii="Poppins" w:hAnsi="Poppins" w:cs="Poppins"/>
          <w:sz w:val="20"/>
          <w:szCs w:val="20"/>
        </w:rPr>
        <w:t xml:space="preserve"> leave and terminated her employment, stating that they would not accommodate her because her injuries occurred outside of the workplace. The EEOC argues that Sam’s Club had a legal duty to accommodate the employee's disability when she attempted to return to work with minimal restrictions. They claim that Sam’s Club violated their legal obligation by failing to do so, regardless of the location of the injury.</w:t>
      </w:r>
    </w:p>
    <w:p w14:paraId="427C2421" w14:textId="5C6039D8" w:rsidR="78C92759" w:rsidRDefault="78C92759" w:rsidP="78C92759">
      <w:pPr>
        <w:spacing w:before="120" w:after="120"/>
        <w:rPr>
          <w:rFonts w:ascii="Poppins SemiBold" w:hAnsi="Poppins SemiBold"/>
          <w:color w:val="2F5496" w:themeColor="accent1" w:themeShade="BF"/>
          <w:sz w:val="24"/>
          <w:szCs w:val="24"/>
        </w:rPr>
      </w:pPr>
      <w:r w:rsidRPr="78C92759">
        <w:rPr>
          <w:rFonts w:ascii="Poppins SemiBold" w:hAnsi="Poppins SemiBold"/>
          <w:color w:val="2F5496" w:themeColor="accent1" w:themeShade="BF"/>
          <w:sz w:val="24"/>
          <w:szCs w:val="24"/>
        </w:rPr>
        <w:t>HRSA Invests $60 Million in Early Morning, Night, and Weekend Hours for Community Health Centers</w:t>
      </w:r>
    </w:p>
    <w:p w14:paraId="55972528" w14:textId="08FE80CD" w:rsidR="78C92759" w:rsidRDefault="78C92759" w:rsidP="00DF56B4">
      <w:pPr>
        <w:spacing w:after="240"/>
        <w:jc w:val="both"/>
        <w:rPr>
          <w:rFonts w:ascii="Poppins" w:hAnsi="Poppins" w:cs="Poppins"/>
          <w:sz w:val="20"/>
          <w:szCs w:val="20"/>
        </w:rPr>
      </w:pPr>
      <w:r w:rsidRPr="00810489">
        <w:rPr>
          <w:rFonts w:ascii="Poppins" w:hAnsi="Poppins" w:cs="Poppins"/>
          <w:sz w:val="20"/>
          <w:szCs w:val="20"/>
        </w:rPr>
        <w:t xml:space="preserve">The Department of Health and Human Services (HHS) through the Health Resources and Services Administration (HRSA) </w:t>
      </w:r>
      <w:hyperlink r:id="rId9">
        <w:r w:rsidRPr="00810489">
          <w:rPr>
            <w:rFonts w:ascii="Poppins" w:hAnsi="Poppins" w:cs="Poppins"/>
            <w:color w:val="2F5496" w:themeColor="accent1" w:themeShade="BF"/>
            <w:sz w:val="20"/>
            <w:szCs w:val="20"/>
            <w:u w:val="single"/>
          </w:rPr>
          <w:t>announced</w:t>
        </w:r>
      </w:hyperlink>
      <w:r w:rsidRPr="00810489">
        <w:rPr>
          <w:rFonts w:ascii="Poppins" w:hAnsi="Poppins" w:cs="Poppins"/>
          <w:sz w:val="20"/>
          <w:szCs w:val="20"/>
        </w:rPr>
        <w:t xml:space="preserve"> an investment of $60 million in Community Health Centers (CHCs) to expand their hours of operation to include early mornings, nights, and weekends. The funding will support administrative and clinical staff necessary </w:t>
      </w:r>
      <w:hyperlink r:id="rId10" w:history="1">
        <w:r w:rsidRPr="00DF56B4">
          <w:rPr>
            <w:rStyle w:val="Hyperlink"/>
            <w:rFonts w:ascii="Poppins" w:hAnsi="Poppins" w:cs="Poppins"/>
            <w:sz w:val="20"/>
            <w:szCs w:val="20"/>
          </w:rPr>
          <w:t>for</w:t>
        </w:r>
        <w:r w:rsidR="00DF56B4" w:rsidRPr="00DF56B4">
          <w:rPr>
            <w:rStyle w:val="Hyperlink"/>
            <w:rFonts w:ascii="Poppins" w:hAnsi="Poppins" w:cs="Poppins"/>
            <w:sz w:val="20"/>
            <w:szCs w:val="20"/>
          </w:rPr>
          <w:t xml:space="preserve"> 125 HRSA-funded CHCs</w:t>
        </w:r>
      </w:hyperlink>
      <w:r w:rsidR="00DF56B4">
        <w:rPr>
          <w:rFonts w:ascii="Poppins" w:hAnsi="Poppins" w:cs="Poppins"/>
          <w:sz w:val="20"/>
          <w:szCs w:val="20"/>
        </w:rPr>
        <w:t xml:space="preserve"> </w:t>
      </w:r>
      <w:r w:rsidRPr="00810489">
        <w:rPr>
          <w:rFonts w:ascii="Poppins" w:hAnsi="Poppins" w:cs="Poppins"/>
          <w:sz w:val="20"/>
          <w:szCs w:val="20"/>
        </w:rPr>
        <w:t>to add an average of 20 hours per week to their hours of operation. Expanded hours are intended to help improve access to health care services for uninsured, underinsured, and Medicaid patients seeking affordable healthcare. HRSA expects expanded hours will help individuals overcome common barriers to accessing care, encourage individuals to seek preventative care, and improve health outcomes. HRSA-supported health centers provide primary care services across 15,000 service sites to over 31 million patients, the vast majority of whom are below 200% of the federal poverty level.</w:t>
      </w:r>
    </w:p>
    <w:p w14:paraId="2179E64A" w14:textId="77777777" w:rsidR="00311AA8" w:rsidRDefault="00311AA8" w:rsidP="00311AA8">
      <w:pPr>
        <w:spacing w:before="120" w:after="120"/>
        <w:rPr>
          <w:rFonts w:ascii="Poppins SemiBold" w:hAnsi="Poppins SemiBold"/>
          <w:color w:val="2F5496" w:themeColor="accent1" w:themeShade="BF"/>
          <w:sz w:val="24"/>
          <w:szCs w:val="24"/>
        </w:rPr>
      </w:pPr>
      <w:r w:rsidRPr="78C92759">
        <w:rPr>
          <w:rFonts w:ascii="Poppins SemiBold" w:hAnsi="Poppins SemiBold"/>
          <w:color w:val="2F5496" w:themeColor="accent1" w:themeShade="BF"/>
          <w:sz w:val="24"/>
          <w:szCs w:val="24"/>
        </w:rPr>
        <w:lastRenderedPageBreak/>
        <w:t>SAMHSA Releases Updated Behavioral Health Crisis Care Guidance Documents</w:t>
      </w:r>
    </w:p>
    <w:p w14:paraId="70A43E11" w14:textId="77777777" w:rsidR="00810489" w:rsidRDefault="00311AA8" w:rsidP="00311AA8">
      <w:pPr>
        <w:spacing w:before="120" w:after="120"/>
        <w:rPr>
          <w:rFonts w:ascii="Poppins" w:hAnsi="Poppins" w:cs="Poppins"/>
          <w:sz w:val="20"/>
          <w:szCs w:val="20"/>
        </w:rPr>
      </w:pPr>
      <w:r w:rsidRPr="001B4001">
        <w:rPr>
          <w:rFonts w:ascii="Poppins" w:hAnsi="Poppins" w:cs="Poppins"/>
          <w:sz w:val="20"/>
          <w:szCs w:val="20"/>
        </w:rPr>
        <w:t xml:space="preserve">The Department of Health and Human Services (HHS) through the Substance Abuse and Mental Health Services Administration (SAMHSA) released updated Behavioral Health Crisis Care Guidance (National Guidance) documents. SAMHSA built the documents on the foundational elements that an integrated crisis </w:t>
      </w:r>
      <w:proofErr w:type="gramStart"/>
      <w:r w:rsidRPr="001B4001">
        <w:rPr>
          <w:rFonts w:ascii="Poppins" w:hAnsi="Poppins" w:cs="Poppins"/>
          <w:sz w:val="20"/>
          <w:szCs w:val="20"/>
        </w:rPr>
        <w:t>care</w:t>
      </w:r>
      <w:proofErr w:type="gramEnd"/>
      <w:r w:rsidRPr="001B4001">
        <w:rPr>
          <w:rFonts w:ascii="Poppins" w:hAnsi="Poppins" w:cs="Poppins"/>
          <w:sz w:val="20"/>
          <w:szCs w:val="20"/>
        </w:rPr>
        <w:t xml:space="preserve"> system offers everyone someone to contact, someone to respond, and a safe place for help. The documents also reflect the national transition to the </w:t>
      </w:r>
      <w:hyperlink r:id="rId11">
        <w:r w:rsidRPr="001B4001">
          <w:rPr>
            <w:rFonts w:ascii="Poppins" w:hAnsi="Poppins" w:cs="Poppins"/>
            <w:color w:val="2F5496" w:themeColor="accent1" w:themeShade="BF"/>
            <w:sz w:val="20"/>
            <w:szCs w:val="20"/>
            <w:u w:val="single"/>
          </w:rPr>
          <w:t>988 Suicide and Crisis Lifeline</w:t>
        </w:r>
      </w:hyperlink>
      <w:r w:rsidRPr="001B4001">
        <w:rPr>
          <w:rFonts w:ascii="Poppins" w:hAnsi="Poppins" w:cs="Poppins"/>
          <w:sz w:val="20"/>
          <w:szCs w:val="20"/>
        </w:rPr>
        <w:t xml:space="preserve"> and emerging behavioral health crisis care needs. As a part of the National Guidance, SAMHSA released the </w:t>
      </w:r>
      <w:hyperlink r:id="rId12">
        <w:r w:rsidRPr="001B4001">
          <w:rPr>
            <w:rFonts w:ascii="Poppins" w:hAnsi="Poppins" w:cs="Poppins"/>
            <w:color w:val="2F5496" w:themeColor="accent1" w:themeShade="BF"/>
            <w:sz w:val="20"/>
            <w:szCs w:val="20"/>
            <w:u w:val="single"/>
          </w:rPr>
          <w:t>2025 National Guidelines for a Behavioral Health Coordinated System of Crisis Care</w:t>
        </w:r>
      </w:hyperlink>
      <w:r w:rsidRPr="001B4001">
        <w:rPr>
          <w:rFonts w:ascii="Poppins" w:hAnsi="Poppins" w:cs="Poppins"/>
          <w:sz w:val="20"/>
          <w:szCs w:val="20"/>
        </w:rPr>
        <w:t xml:space="preserve">; </w:t>
      </w:r>
      <w:hyperlink r:id="rId13">
        <w:r w:rsidRPr="001B4001">
          <w:rPr>
            <w:rFonts w:ascii="Poppins" w:hAnsi="Poppins" w:cs="Poppins"/>
            <w:color w:val="2F5496" w:themeColor="accent1" w:themeShade="BF"/>
            <w:sz w:val="20"/>
            <w:szCs w:val="20"/>
            <w:u w:val="single"/>
          </w:rPr>
          <w:t>Model Definitions for Behavioral Health Emergency, Crisis, and Crisis-Related Services</w:t>
        </w:r>
      </w:hyperlink>
      <w:r w:rsidRPr="001B4001">
        <w:rPr>
          <w:rFonts w:ascii="Poppins" w:hAnsi="Poppins" w:cs="Poppins"/>
          <w:sz w:val="20"/>
          <w:szCs w:val="20"/>
        </w:rPr>
        <w:t xml:space="preserve">; and a draft </w:t>
      </w:r>
      <w:hyperlink r:id="rId14">
        <w:r w:rsidRPr="001B4001">
          <w:rPr>
            <w:rFonts w:ascii="Poppins" w:hAnsi="Poppins" w:cs="Poppins"/>
            <w:color w:val="2F5496" w:themeColor="accent1" w:themeShade="BF"/>
            <w:sz w:val="20"/>
            <w:szCs w:val="20"/>
            <w:u w:val="single"/>
          </w:rPr>
          <w:t>Mobile Crisis Team Services: An Implementation Toolkit.</w:t>
        </w:r>
      </w:hyperlink>
      <w:r w:rsidRPr="001B4001">
        <w:rPr>
          <w:rFonts w:ascii="Poppins" w:hAnsi="Poppins" w:cs="Poppins"/>
          <w:sz w:val="20"/>
          <w:szCs w:val="20"/>
        </w:rPr>
        <w:t xml:space="preserve"> Comments on the Mobile Crisis Team Services document can be </w:t>
      </w:r>
      <w:hyperlink r:id="rId15">
        <w:r w:rsidRPr="001B4001">
          <w:rPr>
            <w:rFonts w:ascii="Poppins" w:hAnsi="Poppins" w:cs="Poppins"/>
            <w:color w:val="2F5496" w:themeColor="accent1" w:themeShade="BF"/>
            <w:sz w:val="20"/>
            <w:szCs w:val="20"/>
            <w:u w:val="single"/>
          </w:rPr>
          <w:t>submitted</w:t>
        </w:r>
      </w:hyperlink>
      <w:r w:rsidRPr="001B4001">
        <w:rPr>
          <w:rFonts w:ascii="Poppins" w:hAnsi="Poppins" w:cs="Poppins"/>
          <w:sz w:val="20"/>
          <w:szCs w:val="20"/>
        </w:rPr>
        <w:t xml:space="preserve"> through March 21, 2025 at 11:59pm E.T.</w:t>
      </w:r>
    </w:p>
    <w:p w14:paraId="4DA8A017" w14:textId="322FF167" w:rsidR="00311AA8" w:rsidRDefault="00311AA8" w:rsidP="00311AA8">
      <w:pPr>
        <w:spacing w:before="120" w:after="120"/>
        <w:rPr>
          <w:rFonts w:ascii="Poppins SemiBold" w:hAnsi="Poppins SemiBold"/>
          <w:color w:val="2F5496" w:themeColor="accent1" w:themeShade="BF"/>
          <w:sz w:val="24"/>
          <w:szCs w:val="24"/>
        </w:rPr>
      </w:pPr>
      <w:r w:rsidRPr="4DFD32A3">
        <w:rPr>
          <w:rFonts w:ascii="Poppins SemiBold" w:hAnsi="Poppins SemiBold"/>
          <w:color w:val="2F5496" w:themeColor="accent1" w:themeShade="BF"/>
          <w:sz w:val="24"/>
          <w:szCs w:val="24"/>
        </w:rPr>
        <w:t>CMS Leaders Publish Article Outlining Medicaid and CHIP Achievements and Potential Risk Amid Proposed Cuts</w:t>
      </w:r>
    </w:p>
    <w:p w14:paraId="517F9AE2" w14:textId="37166DB4" w:rsidR="00311AA8" w:rsidRPr="00810489" w:rsidRDefault="00311AA8" w:rsidP="78C92759">
      <w:pPr>
        <w:spacing w:after="240"/>
        <w:rPr>
          <w:rFonts w:ascii="Poppins" w:hAnsi="Poppins" w:cs="Poppins"/>
          <w:sz w:val="20"/>
          <w:szCs w:val="20"/>
        </w:rPr>
      </w:pPr>
      <w:r w:rsidRPr="001B4001">
        <w:rPr>
          <w:rFonts w:ascii="Poppins" w:hAnsi="Poppins" w:cs="Poppins"/>
          <w:sz w:val="20"/>
          <w:szCs w:val="20"/>
        </w:rPr>
        <w:t xml:space="preserve">Health Affairs </w:t>
      </w:r>
      <w:hyperlink r:id="rId16">
        <w:r w:rsidRPr="001B4001">
          <w:rPr>
            <w:rFonts w:ascii="Poppins" w:hAnsi="Poppins" w:cs="Poppins"/>
            <w:color w:val="2F5496" w:themeColor="accent1" w:themeShade="BF"/>
            <w:sz w:val="20"/>
            <w:szCs w:val="20"/>
            <w:u w:val="single"/>
          </w:rPr>
          <w:t>published</w:t>
        </w:r>
      </w:hyperlink>
      <w:r w:rsidRPr="001B4001">
        <w:rPr>
          <w:rFonts w:ascii="Poppins" w:hAnsi="Poppins" w:cs="Poppins"/>
          <w:sz w:val="20"/>
          <w:szCs w:val="20"/>
        </w:rPr>
        <w:t xml:space="preserve"> an article in which Centers for Medicare and Medicaid Services (CMS) leaders Daniel Tsai and Chiquita Brooks-LaSure outline key improvements to Medicaid and the Children’s Health Insurance Program (CHIP) made under the Biden-Harris administration, expanding coverage to nearly 80 million Americans, including children, pregnant women, and people with disabilities. These programs have played a crucial role in expanding access to affordable health care, particularly through streamlined enrollment processes, Medicaid expansions in several states, and enhanced services for mental health, substance use, and long-term care. Under the Biden-Harris administration, Medicaid and CHIP saw historic gains, including the reduction of bureaucratic barriers that previously caused eligible individuals to lose coverage due to paperwork issues. This effort resulted in the enrollment of 10 million more people since the COVID-19 pandemic, with improved Medicaid renewal rates and expanded auto-renewals. The article also emphasize</w:t>
      </w:r>
      <w:r>
        <w:rPr>
          <w:rFonts w:ascii="Poppins" w:hAnsi="Poppins" w:cs="Poppins"/>
          <w:sz w:val="20"/>
          <w:szCs w:val="20"/>
        </w:rPr>
        <w:t>d</w:t>
      </w:r>
      <w:r w:rsidRPr="001B4001">
        <w:rPr>
          <w:rFonts w:ascii="Poppins" w:hAnsi="Poppins" w:cs="Poppins"/>
          <w:sz w:val="20"/>
          <w:szCs w:val="20"/>
        </w:rPr>
        <w:t xml:space="preserve"> how Medicaid expansion in additional states and extended postpartum coverage for pregnant women have significantly improved health outcomes. </w:t>
      </w:r>
      <w:r>
        <w:rPr>
          <w:rFonts w:ascii="Poppins" w:hAnsi="Poppins" w:cs="Poppins"/>
          <w:sz w:val="20"/>
          <w:szCs w:val="20"/>
        </w:rPr>
        <w:t>In addition</w:t>
      </w:r>
      <w:r w:rsidRPr="001B4001">
        <w:rPr>
          <w:rFonts w:ascii="Poppins" w:hAnsi="Poppins" w:cs="Poppins"/>
          <w:sz w:val="20"/>
          <w:szCs w:val="20"/>
        </w:rPr>
        <w:t>, the CMS leaders raise</w:t>
      </w:r>
      <w:r>
        <w:rPr>
          <w:rFonts w:ascii="Poppins" w:hAnsi="Poppins" w:cs="Poppins"/>
          <w:sz w:val="20"/>
          <w:szCs w:val="20"/>
        </w:rPr>
        <w:t>d</w:t>
      </w:r>
      <w:r w:rsidRPr="001B4001">
        <w:rPr>
          <w:rFonts w:ascii="Poppins" w:hAnsi="Poppins" w:cs="Poppins"/>
          <w:sz w:val="20"/>
          <w:szCs w:val="20"/>
        </w:rPr>
        <w:t xml:space="preserve"> concerns about the future of Medicaid and CHIP, warning that proposals to cut Medicaid funding through per capita caps and block grants, as well as the introduction of work requirements, could severely harm these programs. These policy changes could result in millions of Americans losing coverage, disruptions in access to critical services, and financial strain on healthcare providers, particularly in rural and underserved areas. The leaders stress that these proposals would lead to higher rates of uncompensated care and potential closures of essential healthcare facilities.</w:t>
      </w:r>
      <w:r>
        <w:rPr>
          <w:rFonts w:ascii="Poppins" w:hAnsi="Poppins" w:cs="Poppins"/>
          <w:sz w:val="20"/>
          <w:szCs w:val="20"/>
        </w:rPr>
        <w:t xml:space="preserve"> </w:t>
      </w:r>
    </w:p>
    <w:p w14:paraId="26B61989" w14:textId="71285216" w:rsidR="78C92759" w:rsidRDefault="00311AA8" w:rsidP="78C92759">
      <w:pPr>
        <w:spacing w:before="120" w:after="120"/>
        <w:rPr>
          <w:rFonts w:ascii="Poppins SemiBold" w:hAnsi="Poppins SemiBold"/>
          <w:color w:val="2F5496" w:themeColor="accent1" w:themeShade="BF"/>
          <w:sz w:val="24"/>
          <w:szCs w:val="24"/>
        </w:rPr>
      </w:pPr>
      <w:r>
        <w:rPr>
          <w:rFonts w:ascii="Poppins SemiBold" w:hAnsi="Poppins SemiBold"/>
          <w:color w:val="2F5496" w:themeColor="accent1" w:themeShade="BF"/>
          <w:sz w:val="24"/>
          <w:szCs w:val="24"/>
        </w:rPr>
        <w:t xml:space="preserve">Blog Highlights the Success of </w:t>
      </w:r>
      <w:r w:rsidR="78C92759" w:rsidRPr="78C92759">
        <w:rPr>
          <w:rFonts w:ascii="Poppins SemiBold" w:hAnsi="Poppins SemiBold"/>
          <w:color w:val="2F5496" w:themeColor="accent1" w:themeShade="BF"/>
          <w:sz w:val="24"/>
          <w:szCs w:val="24"/>
        </w:rPr>
        <w:t>Recovery-Focused Payment Models</w:t>
      </w:r>
    </w:p>
    <w:p w14:paraId="03194CCC" w14:textId="24056A08" w:rsidR="78C92759" w:rsidRPr="001B4001" w:rsidRDefault="78C92759" w:rsidP="78C92759">
      <w:pPr>
        <w:spacing w:after="240"/>
        <w:rPr>
          <w:rFonts w:ascii="Poppins" w:hAnsi="Poppins" w:cs="Poppins"/>
          <w:sz w:val="20"/>
          <w:szCs w:val="20"/>
        </w:rPr>
      </w:pPr>
      <w:r w:rsidRPr="001B4001">
        <w:rPr>
          <w:rFonts w:ascii="Poppins" w:hAnsi="Poppins" w:cs="Poppins"/>
          <w:sz w:val="20"/>
          <w:szCs w:val="20"/>
        </w:rPr>
        <w:lastRenderedPageBreak/>
        <w:t xml:space="preserve">The Commonwealth Fund </w:t>
      </w:r>
      <w:hyperlink r:id="rId17">
        <w:r w:rsidR="00311AA8">
          <w:rPr>
            <w:rFonts w:ascii="Poppins" w:hAnsi="Poppins" w:cs="Poppins"/>
            <w:color w:val="2F5496" w:themeColor="accent1" w:themeShade="BF"/>
            <w:sz w:val="20"/>
            <w:szCs w:val="20"/>
            <w:u w:val="single"/>
          </w:rPr>
          <w:t>highlighted</w:t>
        </w:r>
      </w:hyperlink>
      <w:r w:rsidRPr="001B4001">
        <w:rPr>
          <w:rFonts w:ascii="Poppins" w:hAnsi="Poppins" w:cs="Poppins"/>
          <w:sz w:val="20"/>
          <w:szCs w:val="20"/>
        </w:rPr>
        <w:t xml:space="preserve"> that healthcare payers often rely on standardized metrics, such as post-hospitalization follow-ups, which fail to capture the complexities of serious mental illness (SMI) care or address patients' individual recovery needs. Over 5.5% of Americans live with SMI, including conditions such as schizophrenia, bipolar disorder, and major depression, which significantly impair daily functioning. While validated measures exist to assess essential aspects of recovery—such as quality of life, social support, and functioning—payment programs focus on limited clinical metrics, neglecting the recovery needs of marginalized populations. To address these gaps, the Measures That Matter Project, led by Fountain House, seeks to redefine SMI recovery metrics by prioritizing input from stakeholders such as individuals with lived experience, integrating these measures into payment systems, and creating a roadmap for implementation. This roadmap advocates incorporating measurement-based care into certified behavioral health clinics, pay-for-performance programs, value-based payment (VBP) models, Medicaid waivers, and federal initiatives. By linking recovery-oriented metrics to economic incentives through VBP and reimbursement programs, this initiative has the potential to transform SMI care, improving support and treatment while delivering substantial personal, social, and societal benefits.</w:t>
      </w:r>
    </w:p>
    <w:p w14:paraId="09B06177" w14:textId="6B83559A" w:rsidR="78C92759" w:rsidRDefault="78C92759" w:rsidP="78C92759">
      <w:pPr>
        <w:spacing w:before="120" w:after="120"/>
        <w:rPr>
          <w:rFonts w:ascii="Poppins SemiBold" w:hAnsi="Poppins SemiBold"/>
          <w:color w:val="2F5496" w:themeColor="accent1" w:themeShade="BF"/>
          <w:sz w:val="24"/>
          <w:szCs w:val="24"/>
        </w:rPr>
      </w:pPr>
      <w:r w:rsidRPr="78C92759">
        <w:rPr>
          <w:rFonts w:ascii="Poppins SemiBold" w:hAnsi="Poppins SemiBold"/>
          <w:color w:val="2F5496" w:themeColor="accent1" w:themeShade="BF"/>
          <w:sz w:val="24"/>
          <w:szCs w:val="24"/>
        </w:rPr>
        <w:t xml:space="preserve">FTC Report Indicates PBMs Significantly Marked up Generic Drugs for Chronic Illness </w:t>
      </w:r>
    </w:p>
    <w:p w14:paraId="532F5E39" w14:textId="77777777" w:rsidR="78C92759" w:rsidRPr="001B4001" w:rsidRDefault="78C92759" w:rsidP="78C92759">
      <w:pPr>
        <w:spacing w:after="240"/>
        <w:rPr>
          <w:rFonts w:ascii="Poppins" w:hAnsi="Poppins" w:cs="Poppins"/>
          <w:sz w:val="20"/>
          <w:szCs w:val="20"/>
        </w:rPr>
      </w:pPr>
      <w:r w:rsidRPr="001B4001">
        <w:rPr>
          <w:rFonts w:ascii="Poppins" w:hAnsi="Poppins" w:cs="Poppins"/>
          <w:sz w:val="20"/>
          <w:szCs w:val="20"/>
        </w:rPr>
        <w:t xml:space="preserve">The U.S. Federal Trade Commission (FTC) recently </w:t>
      </w:r>
      <w:hyperlink r:id="rId18">
        <w:r w:rsidRPr="001B4001">
          <w:rPr>
            <w:rFonts w:ascii="Poppins" w:hAnsi="Poppins" w:cs="Poppins"/>
            <w:color w:val="2F5496" w:themeColor="accent1" w:themeShade="BF"/>
            <w:sz w:val="20"/>
            <w:szCs w:val="20"/>
            <w:u w:val="single"/>
          </w:rPr>
          <w:t>published a report</w:t>
        </w:r>
      </w:hyperlink>
      <w:r w:rsidRPr="001B4001">
        <w:rPr>
          <w:rFonts w:ascii="Poppins" w:hAnsi="Poppins" w:cs="Poppins"/>
          <w:sz w:val="20"/>
          <w:szCs w:val="20"/>
        </w:rPr>
        <w:t xml:space="preserve"> indicating that the three largest pharmacy benefit managers (PBMs) significantly marked up the price of generic drugs for serious illnesses including cancer, heart disease and HIV. The FTC's latest report highlights how PBMs and their affiliated specialty pharmacies generated over $7.3 billion in revenue from markups on specialty generic drugs between 2017 and 2022. These drugs, many of which are used to treat chronic conditions, were dispensed under Medicare Part D and commercial health plans, whose pharmacy benefits are managed by CVS Caremark, Express Scripts, and OptumRx. The FTC emphasized the significant overcharging by PBMs and their impact on consumers and independent pharmacies. PBMs and their trade group criticized the findings, arguing the report overlooks cost savings and the broader prescription drug supply chain. The commission's unanimous vote to release the report underscores bipartisan concern surrounding PBMs, with the agency advocating for congressional action to regulate the industry more strictly. This report is likely to be of paramount importance to Health and Human Services Secretary-designee Robert F. Kennedy Jr., who has made supporting individuals with chronic illnesses a cornerstone of his Make America Healthy Again agenda. </w:t>
      </w:r>
    </w:p>
    <w:p w14:paraId="73969EAE" w14:textId="77777777" w:rsidR="0028334B" w:rsidRDefault="4DFD32A3" w:rsidP="4DFD32A3">
      <w:pPr>
        <w:spacing w:before="120" w:after="120"/>
        <w:rPr>
          <w:rFonts w:ascii="Poppins SemiBold" w:hAnsi="Poppins SemiBold"/>
          <w:color w:val="2F5496" w:themeColor="accent1" w:themeShade="BF"/>
          <w:sz w:val="24"/>
          <w:szCs w:val="24"/>
        </w:rPr>
      </w:pPr>
      <w:r w:rsidRPr="4DFD32A3">
        <w:rPr>
          <w:rFonts w:ascii="Poppins SemiBold" w:hAnsi="Poppins SemiBold"/>
          <w:color w:val="2F5496" w:themeColor="accent1" w:themeShade="BF"/>
          <w:sz w:val="24"/>
          <w:szCs w:val="24"/>
        </w:rPr>
        <w:t>DEA and DOJ Propose Rule to Expand Telemedicine Regulations</w:t>
      </w:r>
    </w:p>
    <w:p w14:paraId="131A6E21" w14:textId="64DF58A5" w:rsidR="0028334B" w:rsidRPr="001B4001" w:rsidRDefault="78C92759">
      <w:pPr>
        <w:spacing w:before="120" w:after="120"/>
        <w:rPr>
          <w:rFonts w:ascii="Poppins" w:hAnsi="Poppins" w:cs="Poppins"/>
          <w:sz w:val="20"/>
          <w:szCs w:val="20"/>
        </w:rPr>
      </w:pPr>
      <w:r w:rsidRPr="001B4001">
        <w:rPr>
          <w:rFonts w:ascii="Poppins" w:eastAsia="Calibri" w:hAnsi="Poppins" w:cs="Poppins"/>
          <w:color w:val="000000" w:themeColor="text1"/>
          <w:sz w:val="20"/>
          <w:szCs w:val="20"/>
        </w:rPr>
        <w:t xml:space="preserve">The Drug Enforcement Administration (DEA) and the Department of Justice (DOJ) have </w:t>
      </w:r>
      <w:hyperlink r:id="rId19">
        <w:r w:rsidRPr="001B4001">
          <w:rPr>
            <w:rStyle w:val="Hyperlink"/>
            <w:rFonts w:ascii="Poppins" w:eastAsia="Calibri" w:hAnsi="Poppins" w:cs="Poppins"/>
            <w:color w:val="2F5496" w:themeColor="accent1" w:themeShade="BF"/>
            <w:sz w:val="20"/>
            <w:szCs w:val="20"/>
          </w:rPr>
          <w:t>issued</w:t>
        </w:r>
      </w:hyperlink>
      <w:r w:rsidRPr="001B4001">
        <w:rPr>
          <w:rFonts w:ascii="Poppins" w:eastAsia="Calibri" w:hAnsi="Poppins" w:cs="Poppins"/>
          <w:color w:val="000000" w:themeColor="text1"/>
          <w:sz w:val="20"/>
          <w:szCs w:val="20"/>
        </w:rPr>
        <w:t xml:space="preserve"> a notice of proposed rulemaking to expand the regulations under the Ryan Haight Online Pharmacy Consumer Protection Act of 2008. This Act requires at least one in-person medical </w:t>
      </w:r>
      <w:r w:rsidRPr="001B4001">
        <w:rPr>
          <w:rFonts w:ascii="Poppins" w:eastAsia="Calibri" w:hAnsi="Poppins" w:cs="Poppins"/>
          <w:color w:val="000000" w:themeColor="text1"/>
          <w:sz w:val="20"/>
          <w:szCs w:val="20"/>
        </w:rPr>
        <w:lastRenderedPageBreak/>
        <w:t>evaluation before issuing a prescription for controlled substances, with an exception for telemedicine. To support the safe and effective use of telemedicine for prescribing controlled substances, the proposed rule introduces three types of Special Registration: Telemedicine Prescribing Registration, Advanced Telemedicine Prescribing Registration, and Telemedicine Platform Registration. Additionally, the proposed rule incorporates stricter requirements for issuing prescriptions, recordkeeping, and reporting. These measures aim to enhance patient access to controlled substance medications through telemedicine while minimizing the risks of misuse associated with expanded telemedicine practices. The incoming Trump administration will ultimately have the final say on how these proposals are finalized.</w:t>
      </w:r>
      <w:r w:rsidRPr="001B4001">
        <w:rPr>
          <w:rFonts w:ascii="Poppins" w:hAnsi="Poppins" w:cs="Poppins"/>
          <w:color w:val="2F5496" w:themeColor="accent1" w:themeShade="BF"/>
        </w:rPr>
        <w:t xml:space="preserve"> </w:t>
      </w:r>
    </w:p>
    <w:p w14:paraId="4DD660F6" w14:textId="77777777" w:rsidR="0028334B" w:rsidRDefault="4DFD32A3" w:rsidP="4DFD32A3">
      <w:pPr>
        <w:spacing w:before="120" w:after="120"/>
        <w:rPr>
          <w:rFonts w:ascii="Poppins SemiBold" w:hAnsi="Poppins SemiBold"/>
          <w:color w:val="2F5496" w:themeColor="accent1" w:themeShade="BF"/>
          <w:sz w:val="24"/>
          <w:szCs w:val="24"/>
        </w:rPr>
      </w:pPr>
      <w:r w:rsidRPr="4DFD32A3">
        <w:rPr>
          <w:rFonts w:ascii="Poppins SemiBold" w:hAnsi="Poppins SemiBold"/>
          <w:color w:val="2F5496" w:themeColor="accent1" w:themeShade="BF"/>
          <w:sz w:val="24"/>
          <w:szCs w:val="24"/>
        </w:rPr>
        <w:t>HHS, DOJ, and FTC Release Report from RFI on Private Equity and Consolidation in Health Care</w:t>
      </w:r>
    </w:p>
    <w:p w14:paraId="50C01ACC" w14:textId="1F8A72E2" w:rsidR="0028334B" w:rsidRDefault="78C92759" w:rsidP="6BB8FDD2">
      <w:pPr>
        <w:spacing w:before="120" w:after="120"/>
        <w:rPr>
          <w:rFonts w:ascii="Poppins SemiBold" w:hAnsi="Poppins SemiBold"/>
          <w:color w:val="2F5496" w:themeColor="accent1" w:themeShade="BF"/>
          <w:sz w:val="32"/>
          <w:szCs w:val="32"/>
        </w:rPr>
      </w:pPr>
      <w:r w:rsidRPr="001B4001">
        <w:rPr>
          <w:rFonts w:ascii="Poppins" w:eastAsia="Calibri" w:hAnsi="Poppins" w:cs="Poppins"/>
          <w:color w:val="000000" w:themeColor="text1"/>
          <w:sz w:val="20"/>
          <w:szCs w:val="20"/>
        </w:rPr>
        <w:t xml:space="preserve">The Department of Health and Human Services (HHS) in consultation with the Department of Justice (DOJ) and Federal Trade Commission (FTC) </w:t>
      </w:r>
      <w:hyperlink r:id="rId20">
        <w:r w:rsidRPr="001B4001">
          <w:rPr>
            <w:rStyle w:val="Hyperlink"/>
            <w:rFonts w:ascii="Poppins" w:eastAsia="Calibri" w:hAnsi="Poppins" w:cs="Poppins"/>
            <w:color w:val="2F5496" w:themeColor="accent1" w:themeShade="BF"/>
            <w:sz w:val="20"/>
            <w:szCs w:val="20"/>
          </w:rPr>
          <w:t>released</w:t>
        </w:r>
      </w:hyperlink>
      <w:r w:rsidRPr="001B4001">
        <w:rPr>
          <w:rFonts w:ascii="Poppins" w:eastAsia="Calibri" w:hAnsi="Poppins" w:cs="Poppins"/>
          <w:color w:val="000000" w:themeColor="text1"/>
          <w:sz w:val="20"/>
          <w:szCs w:val="20"/>
        </w:rPr>
        <w:t xml:space="preserve"> a </w:t>
      </w:r>
      <w:hyperlink r:id="rId21">
        <w:r w:rsidRPr="001B4001">
          <w:rPr>
            <w:rStyle w:val="Hyperlink"/>
            <w:rFonts w:ascii="Poppins" w:eastAsia="Calibri" w:hAnsi="Poppins" w:cs="Poppins"/>
            <w:color w:val="2F5496" w:themeColor="accent1" w:themeShade="BF"/>
            <w:sz w:val="20"/>
            <w:szCs w:val="20"/>
          </w:rPr>
          <w:t>report</w:t>
        </w:r>
      </w:hyperlink>
      <w:r w:rsidRPr="001B4001">
        <w:rPr>
          <w:rFonts w:ascii="Poppins" w:eastAsia="Calibri" w:hAnsi="Poppins" w:cs="Poppins"/>
          <w:color w:val="000000" w:themeColor="text1"/>
          <w:sz w:val="20"/>
          <w:szCs w:val="20"/>
        </w:rPr>
        <w:t xml:space="preserve"> responding to the tri-agency </w:t>
      </w:r>
      <w:hyperlink r:id="rId22">
        <w:r w:rsidRPr="001B4001">
          <w:rPr>
            <w:rStyle w:val="Hyperlink"/>
            <w:rFonts w:ascii="Poppins" w:eastAsia="Calibri" w:hAnsi="Poppins" w:cs="Poppins"/>
            <w:color w:val="2F5496" w:themeColor="accent1" w:themeShade="BF"/>
            <w:sz w:val="20"/>
            <w:szCs w:val="20"/>
          </w:rPr>
          <w:t>Request for Information</w:t>
        </w:r>
      </w:hyperlink>
      <w:r w:rsidRPr="001B4001">
        <w:rPr>
          <w:rFonts w:ascii="Poppins" w:eastAsia="Calibri" w:hAnsi="Poppins" w:cs="Poppins"/>
          <w:color w:val="000000" w:themeColor="text1"/>
          <w:sz w:val="20"/>
          <w:szCs w:val="20"/>
        </w:rPr>
        <w:t xml:space="preserve"> (RFI) in March 2024. Common themes from over 2,000 responders highlighted concerns about provider consolidation driving higher prices and reducing access to health care, private equity-backed mergers and acquisitions diminishing health care quality, mixed reviews from physicians on working with private equity, and a widespread call for greater transparency in private equity transactions. Public dissatisfaction with private health insurers, particularly those that are vertically integrated, was also a key issue. Additionally, responders provided case studies demonstrating how private equity firms loaded hospitals with debt and sold hospitals’ underlying assets while investors profited from dividends in financially engineered sales. These practices lead to bankruptcy, facility and service line closures, understaffing, and patient safety and quality concerns. Last week, the Senate Committee on Budget </w:t>
      </w:r>
      <w:hyperlink r:id="rId23">
        <w:r w:rsidRPr="001B4001">
          <w:rPr>
            <w:rStyle w:val="Hyperlink"/>
            <w:rFonts w:ascii="Poppins" w:eastAsia="Calibri" w:hAnsi="Poppins" w:cs="Poppins"/>
            <w:color w:val="2F5496" w:themeColor="accent1" w:themeShade="BF"/>
            <w:sz w:val="20"/>
            <w:szCs w:val="20"/>
          </w:rPr>
          <w:t>published</w:t>
        </w:r>
      </w:hyperlink>
      <w:r w:rsidRPr="001B4001">
        <w:rPr>
          <w:rFonts w:ascii="Poppins" w:eastAsia="Calibri" w:hAnsi="Poppins" w:cs="Poppins"/>
          <w:color w:val="000000" w:themeColor="text1"/>
          <w:sz w:val="20"/>
          <w:szCs w:val="20"/>
        </w:rPr>
        <w:t xml:space="preserve"> similar findings related to their inquiry into private equity in health care. HHS, DOJ, and FTC proposed policy interventions to enhance ownership transparency, increase disclosures and approvals of health care mergers and acquisitions, enforce actions to halt hospital mergers and industry rollups, and improve data sharing and collaboration across federal agencies, Congress</w:t>
      </w:r>
      <w:proofErr w:type="gramStart"/>
      <w:r w:rsidRPr="001B4001">
        <w:rPr>
          <w:rFonts w:ascii="Poppins" w:eastAsia="Calibri" w:hAnsi="Poppins" w:cs="Poppins"/>
          <w:color w:val="000000" w:themeColor="text1"/>
          <w:sz w:val="20"/>
          <w:szCs w:val="20"/>
        </w:rPr>
        <w:t>, and state</w:t>
      </w:r>
      <w:proofErr w:type="gramEnd"/>
      <w:r w:rsidRPr="001B4001">
        <w:rPr>
          <w:rFonts w:ascii="Poppins" w:eastAsia="Calibri" w:hAnsi="Poppins" w:cs="Poppins"/>
          <w:color w:val="000000" w:themeColor="text1"/>
          <w:sz w:val="20"/>
          <w:szCs w:val="20"/>
        </w:rPr>
        <w:t xml:space="preserve"> and local governments.</w:t>
      </w:r>
      <w:r w:rsidRPr="001B4001">
        <w:rPr>
          <w:rFonts w:ascii="Poppins" w:hAnsi="Poppins" w:cs="Poppins"/>
        </w:rPr>
        <w:t xml:space="preserve"> </w:t>
      </w:r>
    </w:p>
    <w:p w14:paraId="001C5A01" w14:textId="408ED018" w:rsidR="001B4001" w:rsidRPr="001B4001" w:rsidRDefault="6BB8FDD2" w:rsidP="001B4001">
      <w:pPr>
        <w:rPr>
          <w:rFonts w:ascii="Poppins" w:hAnsi="Poppins" w:cs="Poppins"/>
          <w:sz w:val="20"/>
          <w:szCs w:val="20"/>
        </w:rPr>
      </w:pPr>
      <w:r w:rsidRPr="6BB8FDD2">
        <w:rPr>
          <w:rFonts w:ascii="Poppins SemiBold" w:hAnsi="Poppins SemiBold"/>
          <w:color w:val="2F5496" w:themeColor="accent1" w:themeShade="BF"/>
          <w:sz w:val="32"/>
          <w:szCs w:val="32"/>
        </w:rPr>
        <w:t>What’s on Tap</w:t>
      </w:r>
      <w:r>
        <w:br/>
      </w:r>
      <w:r w:rsidR="001B4001" w:rsidRPr="001B4001">
        <w:rPr>
          <w:rFonts w:ascii="Poppins" w:hAnsi="Poppins" w:cs="Poppins"/>
          <w:sz w:val="20"/>
          <w:szCs w:val="20"/>
        </w:rPr>
        <w:t xml:space="preserve">Donald Trump and JD Vance were sworn in as President and Vice President of the United States at noon on Monday. Following his inaugural speech, President Trump </w:t>
      </w:r>
      <w:hyperlink r:id="rId24" w:history="1">
        <w:r w:rsidR="001B4001" w:rsidRPr="001B4001">
          <w:rPr>
            <w:rStyle w:val="Hyperlink"/>
            <w:rFonts w:ascii="Poppins" w:hAnsi="Poppins" w:cs="Poppins"/>
            <w:sz w:val="20"/>
            <w:szCs w:val="20"/>
          </w:rPr>
          <w:t>signed</w:t>
        </w:r>
      </w:hyperlink>
      <w:r w:rsidR="001B4001" w:rsidRPr="001B4001">
        <w:rPr>
          <w:rFonts w:ascii="Poppins" w:hAnsi="Poppins" w:cs="Poppins"/>
          <w:sz w:val="20"/>
          <w:szCs w:val="20"/>
        </w:rPr>
        <w:t xml:space="preserve"> a slew of executive orders that, among other things, </w:t>
      </w:r>
      <w:hyperlink r:id="rId25" w:history="1">
        <w:r w:rsidR="001B4001" w:rsidRPr="001B4001">
          <w:rPr>
            <w:rStyle w:val="Hyperlink"/>
            <w:rFonts w:ascii="Poppins" w:hAnsi="Poppins" w:cs="Poppins"/>
            <w:sz w:val="20"/>
            <w:szCs w:val="20"/>
          </w:rPr>
          <w:t>halted 78 Biden-era executive actions</w:t>
        </w:r>
      </w:hyperlink>
      <w:r w:rsidR="001B4001" w:rsidRPr="001B4001">
        <w:rPr>
          <w:rFonts w:ascii="Poppins" w:hAnsi="Poppins" w:cs="Poppins"/>
          <w:sz w:val="20"/>
          <w:szCs w:val="20"/>
        </w:rPr>
        <w:t>, placed an indefinite hold on all regulatory agencies proposing regulations, froze all federal hiring except for the military, gave a directive to every department and agency to address the cost-of-living crisis, and withdrew the United States from the World Health Organization</w:t>
      </w:r>
    </w:p>
    <w:p w14:paraId="016C4CAA" w14:textId="75313B17" w:rsidR="001B4001" w:rsidRPr="001B4001" w:rsidRDefault="001B4001" w:rsidP="001B4001">
      <w:pPr>
        <w:rPr>
          <w:rFonts w:ascii="Poppins" w:hAnsi="Poppins" w:cs="Poppins"/>
          <w:sz w:val="20"/>
          <w:szCs w:val="20"/>
        </w:rPr>
      </w:pPr>
      <w:r w:rsidRPr="001B4001">
        <w:rPr>
          <w:rFonts w:ascii="Poppins" w:hAnsi="Poppins" w:cs="Poppins"/>
          <w:sz w:val="20"/>
          <w:szCs w:val="20"/>
        </w:rPr>
        <w:t xml:space="preserve">Through an executive order instituting a regulatory freeze, Trump </w:t>
      </w:r>
      <w:hyperlink r:id="rId26" w:history="1">
        <w:r w:rsidRPr="001B4001">
          <w:rPr>
            <w:rStyle w:val="Hyperlink"/>
            <w:rFonts w:ascii="Poppins" w:hAnsi="Poppins" w:cs="Poppins"/>
            <w:sz w:val="20"/>
            <w:szCs w:val="20"/>
          </w:rPr>
          <w:t>directed all agencies</w:t>
        </w:r>
      </w:hyperlink>
      <w:r w:rsidRPr="001B4001">
        <w:rPr>
          <w:rFonts w:ascii="Poppins" w:hAnsi="Poppins" w:cs="Poppins"/>
          <w:sz w:val="20"/>
          <w:szCs w:val="20"/>
        </w:rPr>
        <w:t xml:space="preserve"> to refrain from issuing any new rules until they have been reviewed and approved by a </w:t>
      </w:r>
      <w:r w:rsidRPr="001B4001">
        <w:rPr>
          <w:rFonts w:ascii="Poppins" w:hAnsi="Poppins" w:cs="Poppins"/>
          <w:sz w:val="20"/>
          <w:szCs w:val="20"/>
        </w:rPr>
        <w:lastRenderedPageBreak/>
        <w:t>department head within the administration. The order further required agencies to immediately withdraw any rules that have been submitted to the Office of the Federal Register (OFR) but not yet published. For rules already published in the Federal Register or issued but not yet effective, department heads were instructed to postpone their effective dates to allow for thorough review. The full implications of Trump’s rollback of these policies on recent healthcare regulations remain unclear, but it is anticipated that the Trump Administration will rescind and modify many of them.</w:t>
      </w:r>
    </w:p>
    <w:p w14:paraId="66646FE3" w14:textId="7CB4D651" w:rsidR="001B4001" w:rsidRPr="001B4001" w:rsidRDefault="001B4001" w:rsidP="001B4001">
      <w:pPr>
        <w:rPr>
          <w:rFonts w:ascii="Poppins" w:hAnsi="Poppins" w:cs="Poppins"/>
          <w:sz w:val="20"/>
          <w:szCs w:val="20"/>
        </w:rPr>
      </w:pPr>
      <w:r w:rsidRPr="001B4001">
        <w:rPr>
          <w:rFonts w:ascii="Poppins" w:hAnsi="Poppins" w:cs="Poppins"/>
          <w:sz w:val="20"/>
          <w:szCs w:val="20"/>
        </w:rPr>
        <w:t>The executive order also advised agencies to consider reopening public comment periods and potentially extending the implementation timelines beyond the standard 60-day period. Several recently proposed regulations may be affected by this freeze, including the 2026 Medicare Advantage and Part D rate notice, the 2026 draft Part D redesign, and the DEA proposal regarding special registrations for prescribing controlled substances via telemedicine.</w:t>
      </w:r>
    </w:p>
    <w:p w14:paraId="2944A9EF" w14:textId="7505A8FF" w:rsidR="0028334B" w:rsidRPr="001B4001" w:rsidRDefault="001B4001" w:rsidP="001B4001">
      <w:pPr>
        <w:rPr>
          <w:rFonts w:ascii="Poppins" w:hAnsi="Poppins" w:cs="Poppins"/>
          <w:sz w:val="20"/>
          <w:szCs w:val="20"/>
        </w:rPr>
      </w:pPr>
      <w:r w:rsidRPr="001B4001">
        <w:rPr>
          <w:rFonts w:ascii="Poppins" w:hAnsi="Poppins" w:cs="Poppins"/>
          <w:sz w:val="20"/>
          <w:szCs w:val="20"/>
        </w:rPr>
        <w:t xml:space="preserve">Late Monday evening, the Senate </w:t>
      </w:r>
      <w:hyperlink r:id="rId27" w:history="1">
        <w:r w:rsidRPr="001B4001">
          <w:rPr>
            <w:rStyle w:val="Hyperlink"/>
            <w:rFonts w:ascii="Poppins" w:hAnsi="Poppins" w:cs="Poppins"/>
            <w:sz w:val="20"/>
            <w:szCs w:val="20"/>
          </w:rPr>
          <w:t>confirmed</w:t>
        </w:r>
      </w:hyperlink>
      <w:r w:rsidRPr="001B4001">
        <w:rPr>
          <w:rFonts w:ascii="Poppins" w:hAnsi="Poppins" w:cs="Poppins"/>
          <w:sz w:val="20"/>
          <w:szCs w:val="20"/>
        </w:rPr>
        <w:t xml:space="preserve"> Marco Rubio as Trump’s Secretary of State with a unanimous vote, clearing the first member of the President’s cabinet. The Senate Armed Services Committee also voted on Monday to advance Pete Hegseth, President Trump’s nominee to serve as Secretary of Defense. The movement of both Secretary Hegseth and Secretary Rubio likely bodes well for the timeline of RFK Jr’s confirmation process - the President’s nominee to lead the Department of Health and Human Services (HHS) - which Senate Finance Committee Chairman Mike Crapo (R-ID) has tentatively scheduled for the end of this month. Until Kennedy is confirmed by the Senate, President Trump has named Dr. Dorothy Fink, director of the Office on Women’s Health, as acting secretary of HHS. </w:t>
      </w:r>
    </w:p>
    <w:p w14:paraId="0931B5B8" w14:textId="3BB453CA" w:rsidR="0028334B" w:rsidRDefault="78C92759" w:rsidP="78C92759">
      <w:pPr>
        <w:spacing w:before="240" w:after="240"/>
        <w:rPr>
          <w:rFonts w:ascii="Poppins SemiBold" w:hAnsi="Poppins SemiBold"/>
          <w:color w:val="2F5496" w:themeColor="accent1" w:themeShade="BF"/>
          <w:sz w:val="32"/>
          <w:szCs w:val="32"/>
        </w:rPr>
      </w:pPr>
      <w:r w:rsidRPr="78C92759">
        <w:rPr>
          <w:rFonts w:ascii="Poppins SemiBold" w:hAnsi="Poppins SemiBold"/>
          <w:color w:val="2F5496" w:themeColor="accent1" w:themeShade="BF"/>
          <w:sz w:val="32"/>
          <w:szCs w:val="32"/>
        </w:rPr>
        <w:t>Upcoming Events</w:t>
      </w:r>
    </w:p>
    <w:p w14:paraId="2418EFA2" w14:textId="77777777" w:rsidR="00311AA8" w:rsidRPr="00810489" w:rsidRDefault="00311AA8" w:rsidP="00311AA8">
      <w:pPr>
        <w:rPr>
          <w:rFonts w:ascii="Poppins" w:eastAsiaTheme="minorEastAsia" w:hAnsi="Poppins" w:cs="Poppins"/>
          <w:color w:val="000000" w:themeColor="text1"/>
          <w:sz w:val="20"/>
          <w:szCs w:val="20"/>
        </w:rPr>
      </w:pPr>
      <w:r w:rsidRPr="00810489">
        <w:rPr>
          <w:rFonts w:ascii="Poppins" w:eastAsiaTheme="minorEastAsia" w:hAnsi="Poppins" w:cs="Poppins"/>
          <w:color w:val="000000" w:themeColor="text1"/>
          <w:sz w:val="20"/>
          <w:szCs w:val="20"/>
        </w:rPr>
        <w:t xml:space="preserve">On Tuesday, the Seante Health, Education, Labor, and Pension Committee will hold a </w:t>
      </w:r>
      <w:hyperlink r:id="rId28" w:history="1">
        <w:r w:rsidRPr="00810489">
          <w:rPr>
            <w:rStyle w:val="Hyperlink"/>
            <w:rFonts w:ascii="Poppins" w:eastAsiaTheme="minorEastAsia" w:hAnsi="Poppins" w:cs="Poppins"/>
            <w:sz w:val="20"/>
            <w:szCs w:val="20"/>
          </w:rPr>
          <w:t>hearing</w:t>
        </w:r>
      </w:hyperlink>
      <w:r w:rsidRPr="00810489">
        <w:rPr>
          <w:rFonts w:ascii="Poppins" w:eastAsiaTheme="minorEastAsia" w:hAnsi="Poppins" w:cs="Poppins"/>
          <w:color w:val="000000" w:themeColor="text1"/>
          <w:sz w:val="20"/>
          <w:szCs w:val="20"/>
        </w:rPr>
        <w:t xml:space="preserve"> on “Starting the 119</w:t>
      </w:r>
      <w:r w:rsidRPr="00810489">
        <w:rPr>
          <w:rFonts w:ascii="Poppins" w:eastAsiaTheme="minorEastAsia" w:hAnsi="Poppins" w:cs="Poppins"/>
          <w:color w:val="000000" w:themeColor="text1"/>
          <w:sz w:val="20"/>
          <w:szCs w:val="20"/>
          <w:vertAlign w:val="superscript"/>
        </w:rPr>
        <w:t>th</w:t>
      </w:r>
      <w:r w:rsidRPr="00810489">
        <w:rPr>
          <w:rFonts w:ascii="Poppins" w:eastAsiaTheme="minorEastAsia" w:hAnsi="Poppins" w:cs="Poppins"/>
          <w:color w:val="000000" w:themeColor="text1"/>
          <w:sz w:val="20"/>
          <w:szCs w:val="20"/>
        </w:rPr>
        <w:t xml:space="preserve"> Congress” at 10:00am. </w:t>
      </w:r>
    </w:p>
    <w:p w14:paraId="6BADEBE5" w14:textId="0D750761" w:rsidR="00311AA8" w:rsidRDefault="00311AA8" w:rsidP="00311AA8">
      <w:pPr>
        <w:rPr>
          <w:rFonts w:ascii="Poppins" w:eastAsiaTheme="minorEastAsia" w:hAnsi="Poppins" w:cs="Poppins"/>
          <w:color w:val="000000" w:themeColor="text1"/>
          <w:sz w:val="20"/>
          <w:szCs w:val="20"/>
        </w:rPr>
      </w:pPr>
      <w:r w:rsidRPr="00810489">
        <w:rPr>
          <w:rFonts w:ascii="Poppins" w:eastAsiaTheme="minorEastAsia" w:hAnsi="Poppins" w:cs="Poppins"/>
          <w:color w:val="000000" w:themeColor="text1"/>
          <w:sz w:val="20"/>
          <w:szCs w:val="20"/>
        </w:rPr>
        <w:t xml:space="preserve">On Wednesday, the House Veterans' Affairs Committee will hold a </w:t>
      </w:r>
      <w:hyperlink r:id="rId29">
        <w:r w:rsidRPr="00810489">
          <w:rPr>
            <w:rStyle w:val="Hyperlink"/>
            <w:rFonts w:ascii="Poppins" w:eastAsiaTheme="minorEastAsia" w:hAnsi="Poppins" w:cs="Poppins"/>
            <w:sz w:val="20"/>
            <w:szCs w:val="20"/>
          </w:rPr>
          <w:t>hearing on "Restoring Focus: Putting Veterans First in Community Care"</w:t>
        </w:r>
      </w:hyperlink>
      <w:r w:rsidRPr="00810489">
        <w:rPr>
          <w:rFonts w:ascii="Poppins" w:eastAsiaTheme="minorEastAsia" w:hAnsi="Poppins" w:cs="Poppins"/>
          <w:color w:val="000000" w:themeColor="text1"/>
          <w:sz w:val="20"/>
          <w:szCs w:val="20"/>
        </w:rPr>
        <w:t xml:space="preserve"> at 1:</w:t>
      </w:r>
      <w:r>
        <w:rPr>
          <w:rFonts w:ascii="Poppins" w:eastAsiaTheme="minorEastAsia" w:hAnsi="Poppins" w:cs="Poppins"/>
          <w:color w:val="000000" w:themeColor="text1"/>
          <w:sz w:val="20"/>
          <w:szCs w:val="20"/>
        </w:rPr>
        <w:t>00p</w:t>
      </w:r>
      <w:r w:rsidRPr="00810489">
        <w:rPr>
          <w:rFonts w:ascii="Poppins" w:eastAsiaTheme="minorEastAsia" w:hAnsi="Poppins" w:cs="Poppins"/>
          <w:color w:val="000000" w:themeColor="text1"/>
          <w:sz w:val="20"/>
          <w:szCs w:val="20"/>
        </w:rPr>
        <w:t>m.</w:t>
      </w:r>
    </w:p>
    <w:p w14:paraId="635B492E" w14:textId="58BA4B9E" w:rsidR="00311AA8" w:rsidRPr="00810489" w:rsidRDefault="00311AA8" w:rsidP="00311AA8">
      <w:pPr>
        <w:rPr>
          <w:rFonts w:ascii="Poppins" w:eastAsiaTheme="minorEastAsia" w:hAnsi="Poppins" w:cs="Poppins"/>
          <w:color w:val="000000" w:themeColor="text1"/>
          <w:sz w:val="20"/>
          <w:szCs w:val="20"/>
        </w:rPr>
      </w:pPr>
      <w:r>
        <w:rPr>
          <w:rFonts w:ascii="Poppins" w:eastAsiaTheme="minorEastAsia" w:hAnsi="Poppins" w:cs="Poppins"/>
          <w:color w:val="000000" w:themeColor="text1"/>
          <w:sz w:val="20"/>
          <w:szCs w:val="20"/>
        </w:rPr>
        <w:t>On Thursday, the House Veterans’ Affairs Subcommittee on Disability Assistance and Memorial Affairs Oversight will hold a hearing on “Correcting VA’s Violation of Veterans Due Process and Second Amendment Rights” at 1:15pm.</w:t>
      </w:r>
    </w:p>
    <w:p w14:paraId="0A3FAC6D" w14:textId="77777777" w:rsidR="00311AA8" w:rsidRPr="00810489" w:rsidRDefault="00311AA8" w:rsidP="00311AA8">
      <w:pPr>
        <w:rPr>
          <w:rFonts w:ascii="Poppins" w:eastAsiaTheme="minorEastAsia" w:hAnsi="Poppins" w:cs="Poppins"/>
          <w:color w:val="000000" w:themeColor="text1"/>
          <w:sz w:val="20"/>
          <w:szCs w:val="20"/>
        </w:rPr>
      </w:pPr>
      <w:r w:rsidRPr="00810489">
        <w:rPr>
          <w:rFonts w:ascii="Poppins" w:eastAsiaTheme="minorEastAsia" w:hAnsi="Poppins" w:cs="Poppins"/>
          <w:color w:val="000000" w:themeColor="text1"/>
          <w:sz w:val="20"/>
          <w:szCs w:val="20"/>
        </w:rPr>
        <w:t xml:space="preserve">On Thursday and Friday, the </w:t>
      </w:r>
      <w:hyperlink r:id="rId30" w:history="1">
        <w:r w:rsidRPr="00810489">
          <w:rPr>
            <w:rStyle w:val="Hyperlink"/>
            <w:rFonts w:ascii="Poppins" w:eastAsiaTheme="minorEastAsia" w:hAnsi="Poppins" w:cs="Poppins"/>
            <w:sz w:val="20"/>
            <w:szCs w:val="20"/>
          </w:rPr>
          <w:t>Families USA’s 2025 Health Action Conference,</w:t>
        </w:r>
      </w:hyperlink>
      <w:r w:rsidRPr="00810489">
        <w:rPr>
          <w:rFonts w:ascii="Poppins" w:eastAsiaTheme="minorEastAsia" w:hAnsi="Poppins" w:cs="Poppins"/>
          <w:color w:val="000000" w:themeColor="text1"/>
          <w:sz w:val="20"/>
          <w:szCs w:val="20"/>
        </w:rPr>
        <w:t xml:space="preserve"> a national health advocacy conference, will begin at 8:00am at the Capitol Hilton.</w:t>
      </w:r>
    </w:p>
    <w:p w14:paraId="47C68B5E" w14:textId="77777777" w:rsidR="00311AA8" w:rsidRDefault="00311AA8" w:rsidP="00311AA8">
      <w:pPr>
        <w:rPr>
          <w:rFonts w:ascii="Calibri" w:eastAsia="Calibri" w:hAnsi="Calibri" w:cs="Calibri"/>
          <w:color w:val="000000" w:themeColor="text1"/>
        </w:rPr>
      </w:pPr>
    </w:p>
    <w:p w14:paraId="27758631" w14:textId="77777777" w:rsidR="001B4001" w:rsidRPr="001B4001" w:rsidRDefault="001B4001" w:rsidP="001B4001">
      <w:pPr>
        <w:rPr>
          <w:rFonts w:ascii="Calibri" w:eastAsia="Calibri" w:hAnsi="Calibri" w:cs="Calibri"/>
          <w:color w:val="000000" w:themeColor="text1"/>
        </w:rPr>
      </w:pPr>
    </w:p>
    <w:sectPr w:rsidR="001B4001" w:rsidRPr="001B4001">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1AA57" w14:textId="77777777" w:rsidR="00C3387C" w:rsidRDefault="00C3387C" w:rsidP="00715EA6">
      <w:pPr>
        <w:spacing w:after="0" w:line="240" w:lineRule="auto"/>
      </w:pPr>
      <w:r>
        <w:separator/>
      </w:r>
    </w:p>
  </w:endnote>
  <w:endnote w:type="continuationSeparator" w:id="0">
    <w:p w14:paraId="15550EEC" w14:textId="77777777" w:rsidR="00C3387C" w:rsidRDefault="00C3387C"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F78A" id="Rectangle 2" o:spid="_x0000_s1026"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fillcolor="#0e6eb6" stroked="f" strokeweight="1pt">
              <v:fill opacity="39321f"/>
              <v:textbo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2FE055" w14:textId="77777777" w:rsidR="00C3387C" w:rsidRDefault="00C3387C" w:rsidP="00715EA6">
      <w:pPr>
        <w:spacing w:after="0" w:line="240" w:lineRule="auto"/>
      </w:pPr>
      <w:r>
        <w:separator/>
      </w:r>
    </w:p>
  </w:footnote>
  <w:footnote w:type="continuationSeparator" w:id="0">
    <w:p w14:paraId="0CA36E8C" w14:textId="77777777" w:rsidR="00C3387C" w:rsidRDefault="00C3387C" w:rsidP="0071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DD5C66"/>
    <w:multiLevelType w:val="hybridMultilevel"/>
    <w:tmpl w:val="90B61034"/>
    <w:lvl w:ilvl="0" w:tplc="EA762E36">
      <w:start w:val="1"/>
      <w:numFmt w:val="bullet"/>
      <w:lvlText w:val=""/>
      <w:lvlJc w:val="left"/>
      <w:pPr>
        <w:ind w:left="720" w:hanging="360"/>
      </w:pPr>
      <w:rPr>
        <w:rFonts w:ascii="Symbol" w:hAnsi="Symbol" w:hint="default"/>
      </w:rPr>
    </w:lvl>
    <w:lvl w:ilvl="1" w:tplc="21AC39E0">
      <w:start w:val="1"/>
      <w:numFmt w:val="bullet"/>
      <w:lvlText w:val="o"/>
      <w:lvlJc w:val="left"/>
      <w:pPr>
        <w:ind w:left="1440" w:hanging="360"/>
      </w:pPr>
      <w:rPr>
        <w:rFonts w:ascii="Courier New" w:hAnsi="Courier New" w:hint="default"/>
      </w:rPr>
    </w:lvl>
    <w:lvl w:ilvl="2" w:tplc="9F0AC50C">
      <w:start w:val="1"/>
      <w:numFmt w:val="bullet"/>
      <w:lvlText w:val=""/>
      <w:lvlJc w:val="left"/>
      <w:pPr>
        <w:ind w:left="2160" w:hanging="360"/>
      </w:pPr>
      <w:rPr>
        <w:rFonts w:ascii="Wingdings" w:hAnsi="Wingdings" w:hint="default"/>
      </w:rPr>
    </w:lvl>
    <w:lvl w:ilvl="3" w:tplc="0DA83FF0">
      <w:start w:val="1"/>
      <w:numFmt w:val="bullet"/>
      <w:lvlText w:val=""/>
      <w:lvlJc w:val="left"/>
      <w:pPr>
        <w:ind w:left="2880" w:hanging="360"/>
      </w:pPr>
      <w:rPr>
        <w:rFonts w:ascii="Symbol" w:hAnsi="Symbol" w:hint="default"/>
      </w:rPr>
    </w:lvl>
    <w:lvl w:ilvl="4" w:tplc="4AF2A37E">
      <w:start w:val="1"/>
      <w:numFmt w:val="bullet"/>
      <w:lvlText w:val="o"/>
      <w:lvlJc w:val="left"/>
      <w:pPr>
        <w:ind w:left="3600" w:hanging="360"/>
      </w:pPr>
      <w:rPr>
        <w:rFonts w:ascii="Courier New" w:hAnsi="Courier New" w:hint="default"/>
      </w:rPr>
    </w:lvl>
    <w:lvl w:ilvl="5" w:tplc="AD6456A6">
      <w:start w:val="1"/>
      <w:numFmt w:val="bullet"/>
      <w:lvlText w:val=""/>
      <w:lvlJc w:val="left"/>
      <w:pPr>
        <w:ind w:left="4320" w:hanging="360"/>
      </w:pPr>
      <w:rPr>
        <w:rFonts w:ascii="Wingdings" w:hAnsi="Wingdings" w:hint="default"/>
      </w:rPr>
    </w:lvl>
    <w:lvl w:ilvl="6" w:tplc="80DAB612">
      <w:start w:val="1"/>
      <w:numFmt w:val="bullet"/>
      <w:lvlText w:val=""/>
      <w:lvlJc w:val="left"/>
      <w:pPr>
        <w:ind w:left="5040" w:hanging="360"/>
      </w:pPr>
      <w:rPr>
        <w:rFonts w:ascii="Symbol" w:hAnsi="Symbol" w:hint="default"/>
      </w:rPr>
    </w:lvl>
    <w:lvl w:ilvl="7" w:tplc="54C475C2">
      <w:start w:val="1"/>
      <w:numFmt w:val="bullet"/>
      <w:lvlText w:val="o"/>
      <w:lvlJc w:val="left"/>
      <w:pPr>
        <w:ind w:left="5760" w:hanging="360"/>
      </w:pPr>
      <w:rPr>
        <w:rFonts w:ascii="Courier New" w:hAnsi="Courier New" w:hint="default"/>
      </w:rPr>
    </w:lvl>
    <w:lvl w:ilvl="8" w:tplc="093EF5BA">
      <w:start w:val="1"/>
      <w:numFmt w:val="bullet"/>
      <w:lvlText w:val=""/>
      <w:lvlJc w:val="left"/>
      <w:pPr>
        <w:ind w:left="6480" w:hanging="360"/>
      </w:pPr>
      <w:rPr>
        <w:rFonts w:ascii="Wingdings" w:hAnsi="Wingdings" w:hint="default"/>
      </w:rPr>
    </w:lvl>
  </w:abstractNum>
  <w:num w:numId="1" w16cid:durableId="1288317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140A74"/>
    <w:rsid w:val="001B4001"/>
    <w:rsid w:val="00227F49"/>
    <w:rsid w:val="00236A3B"/>
    <w:rsid w:val="0028334B"/>
    <w:rsid w:val="00311AA8"/>
    <w:rsid w:val="003652CB"/>
    <w:rsid w:val="004F23F4"/>
    <w:rsid w:val="0053438E"/>
    <w:rsid w:val="0059352F"/>
    <w:rsid w:val="00715EA6"/>
    <w:rsid w:val="00810489"/>
    <w:rsid w:val="009217AE"/>
    <w:rsid w:val="00A7138F"/>
    <w:rsid w:val="00A76DD2"/>
    <w:rsid w:val="00B92207"/>
    <w:rsid w:val="00BC60C2"/>
    <w:rsid w:val="00C3387C"/>
    <w:rsid w:val="00CF006A"/>
    <w:rsid w:val="00DF56B4"/>
    <w:rsid w:val="00E30E4D"/>
    <w:rsid w:val="2565C836"/>
    <w:rsid w:val="3DD66EBC"/>
    <w:rsid w:val="4DFD32A3"/>
    <w:rsid w:val="5BEADC83"/>
    <w:rsid w:val="6BB8FDD2"/>
    <w:rsid w:val="78C92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9E1258A4-187B-4729-A133-579304EC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 w:type="paragraph" w:styleId="Revision">
    <w:name w:val="Revision"/>
    <w:hidden/>
    <w:uiPriority w:val="99"/>
    <w:semiHidden/>
    <w:rsid w:val="0059352F"/>
    <w:pPr>
      <w:spacing w:after="0" w:line="240" w:lineRule="auto"/>
    </w:pPr>
  </w:style>
  <w:style w:type="character" w:styleId="CommentReference">
    <w:name w:val="annotation reference"/>
    <w:basedOn w:val="DefaultParagraphFont"/>
    <w:uiPriority w:val="99"/>
    <w:semiHidden/>
    <w:unhideWhenUsed/>
    <w:rsid w:val="0059352F"/>
    <w:rPr>
      <w:sz w:val="16"/>
      <w:szCs w:val="16"/>
    </w:rPr>
  </w:style>
  <w:style w:type="paragraph" w:styleId="CommentText">
    <w:name w:val="annotation text"/>
    <w:basedOn w:val="Normal"/>
    <w:link w:val="CommentTextChar"/>
    <w:uiPriority w:val="99"/>
    <w:unhideWhenUsed/>
    <w:rsid w:val="0059352F"/>
    <w:pPr>
      <w:spacing w:line="240" w:lineRule="auto"/>
    </w:pPr>
    <w:rPr>
      <w:sz w:val="20"/>
      <w:szCs w:val="20"/>
    </w:rPr>
  </w:style>
  <w:style w:type="character" w:customStyle="1" w:styleId="CommentTextChar">
    <w:name w:val="Comment Text Char"/>
    <w:basedOn w:val="DefaultParagraphFont"/>
    <w:link w:val="CommentText"/>
    <w:uiPriority w:val="99"/>
    <w:rsid w:val="0059352F"/>
    <w:rPr>
      <w:sz w:val="20"/>
      <w:szCs w:val="20"/>
    </w:rPr>
  </w:style>
  <w:style w:type="paragraph" w:styleId="CommentSubject">
    <w:name w:val="annotation subject"/>
    <w:basedOn w:val="CommentText"/>
    <w:next w:val="CommentText"/>
    <w:link w:val="CommentSubjectChar"/>
    <w:uiPriority w:val="99"/>
    <w:semiHidden/>
    <w:unhideWhenUsed/>
    <w:rsid w:val="0059352F"/>
    <w:rPr>
      <w:b/>
      <w:bCs/>
    </w:rPr>
  </w:style>
  <w:style w:type="character" w:customStyle="1" w:styleId="CommentSubjectChar">
    <w:name w:val="Comment Subject Char"/>
    <w:basedOn w:val="CommentTextChar"/>
    <w:link w:val="CommentSubject"/>
    <w:uiPriority w:val="99"/>
    <w:semiHidden/>
    <w:rsid w:val="005935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brary.samhsa.gov/sites/default/files/model-definitions-pep24-01-037.pdf" TargetMode="External"/><Relationship Id="rId18" Type="http://schemas.openxmlformats.org/officeDocument/2006/relationships/hyperlink" Target="https://www.ftc.gov/system/files/ftc_gov/pdf/pharmacy-benefit-managers-staff-report.pdf" TargetMode="External"/><Relationship Id="rId26" Type="http://schemas.openxmlformats.org/officeDocument/2006/relationships/hyperlink" Target="https://www.whitehouse.gov/presidential-actions/2025/01/regulatory-freeze-pending-review/" TargetMode="External"/><Relationship Id="rId3" Type="http://schemas.openxmlformats.org/officeDocument/2006/relationships/settings" Target="settings.xml"/><Relationship Id="rId21" Type="http://schemas.openxmlformats.org/officeDocument/2006/relationships/hyperlink" Target="https://www.hhs.gov/sites/default/files/hhs-consolidation-health-care-markets-rfi-response-report.pdf" TargetMode="External"/><Relationship Id="rId7" Type="http://schemas.openxmlformats.org/officeDocument/2006/relationships/image" Target="media/image1.png"/><Relationship Id="rId12" Type="http://schemas.openxmlformats.org/officeDocument/2006/relationships/hyperlink" Target="https://library.samhsa.gov/sites/default/files/national-guidelines-crisis-care-pep24-01-037.pdf" TargetMode="External"/><Relationship Id="rId17" Type="http://schemas.openxmlformats.org/officeDocument/2006/relationships/hyperlink" Target="https://commonwealthfund.org/blog/2025/rethinking-behavioral-health-care-measures-improve-outcomes-people-serious-mental-illness" TargetMode="External"/><Relationship Id="rId25" Type="http://schemas.openxmlformats.org/officeDocument/2006/relationships/hyperlink" Target="https://www.whitehouse.gov/presidential-actions/2025/01/initial-rescissions-of-harmful-executive-orders-and-action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healthaffairs.org/content/forefront/medicaid-and-chip-program-improvements-and-need-protect-them" TargetMode="External"/><Relationship Id="rId20" Type="http://schemas.openxmlformats.org/officeDocument/2006/relationships/hyperlink" Target="https://www.hhs.gov/about/news/2025/01/15/hhs-releases-report-consolidation-private-equity-health-care-markets.html" TargetMode="External"/><Relationship Id="rId29" Type="http://schemas.openxmlformats.org/officeDocument/2006/relationships/hyperlink" Target="https://veterans.house.gov/calendar/eventsingle.aspx?EventID=66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988lifeline.org/" TargetMode="External"/><Relationship Id="rId24" Type="http://schemas.openxmlformats.org/officeDocument/2006/relationships/hyperlink" Target="https://apnews.com/article/trump-day-1-executive-orders-3a035a0bbd37b5c12630b92c8c8a9625"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samhsa.gov/mental-health/national-behavioral-health-crisis-care/mobile-crisis-toolkit-public-comment-submission" TargetMode="External"/><Relationship Id="rId23" Type="http://schemas.openxmlformats.org/officeDocument/2006/relationships/hyperlink" Target="https://www.grassley.senate.gov/imo/media/doc/profits_over_patients_budget_staff_report.pdf" TargetMode="External"/><Relationship Id="rId28" Type="http://schemas.openxmlformats.org/officeDocument/2006/relationships/hyperlink" Target="https://www.help.senate.gov/hearings/starting-the-119th-congress" TargetMode="External"/><Relationship Id="rId10" Type="http://schemas.openxmlformats.org/officeDocument/2006/relationships/hyperlink" Target="https://bphc.hrsa.gov/funding/funding-opportunities/expanded-hours/fy-25-awards" TargetMode="External"/><Relationship Id="rId19" Type="http://schemas.openxmlformats.org/officeDocument/2006/relationships/hyperlink" Target="https://insidehealthpolicy.com/sites/insidehealthpolicy.com/files/documents/2025/jan/he2025_0126.pdf"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hs.gov/about/news/2025/01/14/biden-harris-administration-announces-60-million-investment-expanded-hours-community-health-centers.html" TargetMode="External"/><Relationship Id="rId14" Type="http://schemas.openxmlformats.org/officeDocument/2006/relationships/hyperlink" Target="https://library.samhsa.gov/sites/default/files/draft-mct-toolkit-pep24-01-037.pdf" TargetMode="External"/><Relationship Id="rId22" Type="http://schemas.openxmlformats.org/officeDocument/2006/relationships/hyperlink" Target="https://public3.pagefreezer.com/browse/HHS.gov/02-01-2025T05:49/https://www.hhs.gov/about/news/2024/03/05/issue-request-for-public-input-as-part-of-inquiry-into-impacts-of-corporate-ownership-trend-in-health-care.html" TargetMode="External"/><Relationship Id="rId27" Type="http://schemas.openxmlformats.org/officeDocument/2006/relationships/hyperlink" Target="https://apnews.com/article/trump-cabinet-marco-rubio-secretary-of-state-nominee-39c378e19d0327a7f091f302daf8ca3e" TargetMode="External"/><Relationship Id="rId30" Type="http://schemas.openxmlformats.org/officeDocument/2006/relationships/hyperlink" Target="https://familiesusa.org/our-work/health-action-conference/" TargetMode="External"/><Relationship Id="rId8" Type="http://schemas.openxmlformats.org/officeDocument/2006/relationships/hyperlink" Target="https://www.jdsupra.com/legalnews/eeoc-sues-sam-s-club-for-disability-62229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2486</Words>
  <Characters>14176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Rachel Jordan</cp:lastModifiedBy>
  <cp:revision>2</cp:revision>
  <dcterms:created xsi:type="dcterms:W3CDTF">2025-01-21T18:18:00Z</dcterms:created>
  <dcterms:modified xsi:type="dcterms:W3CDTF">2025-01-21T18:18:00Z</dcterms:modified>
</cp:coreProperties>
</file>