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E213D" w14:textId="3DE7CA9A" w:rsidR="00715EA6" w:rsidRPr="00715EA6" w:rsidRDefault="00715EA6" w:rsidP="3DD66EBC">
      <w:pPr>
        <w:pStyle w:val="Heading1"/>
        <w:rPr>
          <w:rFonts w:ascii="Poppins SemiBold" w:hAnsi="Poppins SemiBold"/>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6"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B9D0F47" w:rsidRPr="0B9D0F47">
        <w:rPr>
          <w:rFonts w:ascii="Poppins SemiBold" w:hAnsi="Poppins SemiBold"/>
          <w:sz w:val="32"/>
          <w:szCs w:val="32"/>
        </w:rPr>
        <w:t>February 3, 2025</w:t>
      </w:r>
    </w:p>
    <w:p w14:paraId="37EFF570" w14:textId="14F68DBA" w:rsidR="601A6D1B" w:rsidRDefault="601A6D1B" w:rsidP="601A6D1B">
      <w:pPr>
        <w:shd w:val="clear" w:color="auto" w:fill="FFFFFF" w:themeFill="background1"/>
        <w:spacing w:after="120" w:line="257" w:lineRule="auto"/>
        <w:rPr>
          <w:rFonts w:ascii="Poppins SemiBold" w:eastAsia="Poppins SemiBold" w:hAnsi="Poppins SemiBold" w:cs="Poppins SemiBold"/>
          <w:b/>
          <w:bCs/>
          <w:color w:val="2F5496" w:themeColor="accent1" w:themeShade="BF"/>
          <w:sz w:val="24"/>
          <w:szCs w:val="24"/>
        </w:rPr>
      </w:pPr>
      <w:r w:rsidRPr="601A6D1B">
        <w:rPr>
          <w:rFonts w:ascii="Poppins SemiBold" w:eastAsia="Poppins SemiBold" w:hAnsi="Poppins SemiBold" w:cs="Poppins SemiBold"/>
          <w:b/>
          <w:bCs/>
          <w:color w:val="2F5496" w:themeColor="accent1" w:themeShade="BF"/>
          <w:sz w:val="24"/>
          <w:szCs w:val="24"/>
        </w:rPr>
        <w:t>Montana Unveils $32.5M Plan to Expand Behavioral Health Services and Hospital Infrastructure</w:t>
      </w:r>
    </w:p>
    <w:p w14:paraId="1C8F70DB" w14:textId="3309E597" w:rsidR="601A6D1B" w:rsidRDefault="601A6D1B" w:rsidP="601A6D1B">
      <w:pPr>
        <w:shd w:val="clear" w:color="auto" w:fill="FFFFFF" w:themeFill="background1"/>
        <w:spacing w:after="380" w:line="257" w:lineRule="auto"/>
        <w:rPr>
          <w:rFonts w:ascii="Poppins" w:eastAsia="Poppins" w:hAnsi="Poppins" w:cs="Poppins"/>
          <w:color w:val="000000" w:themeColor="text1"/>
          <w:sz w:val="20"/>
          <w:szCs w:val="20"/>
        </w:rPr>
      </w:pPr>
      <w:r w:rsidRPr="601A6D1B">
        <w:rPr>
          <w:rFonts w:ascii="Poppins" w:eastAsia="Poppins" w:hAnsi="Poppins" w:cs="Poppins"/>
          <w:color w:val="000000" w:themeColor="text1"/>
          <w:sz w:val="20"/>
          <w:szCs w:val="20"/>
        </w:rPr>
        <w:t xml:space="preserve">Republican Gov. Greg Gianforte’s administration is </w:t>
      </w:r>
      <w:hyperlink r:id="rId7">
        <w:r w:rsidR="00AF58E7">
          <w:rPr>
            <w:rStyle w:val="Hyperlink"/>
            <w:rFonts w:ascii="Poppins" w:eastAsia="Poppins" w:hAnsi="Poppins" w:cs="Poppins"/>
            <w:color w:val="0563C1"/>
            <w:sz w:val="20"/>
            <w:szCs w:val="20"/>
          </w:rPr>
          <w:t>looking</w:t>
        </w:r>
      </w:hyperlink>
      <w:r w:rsidR="00AF58E7">
        <w:t xml:space="preserve"> </w:t>
      </w:r>
      <w:r w:rsidR="00AF58E7" w:rsidRPr="00AF58E7">
        <w:rPr>
          <w:rFonts w:ascii="Poppins" w:hAnsi="Poppins" w:cs="Poppins"/>
          <w:sz w:val="20"/>
          <w:szCs w:val="20"/>
        </w:rPr>
        <w:t>into</w:t>
      </w:r>
      <w:r w:rsidRPr="00AF58E7">
        <w:rPr>
          <w:rFonts w:ascii="Poppins" w:eastAsia="Poppins" w:hAnsi="Poppins" w:cs="Poppins"/>
          <w:color w:val="000000" w:themeColor="text1"/>
          <w:sz w:val="18"/>
          <w:szCs w:val="18"/>
        </w:rPr>
        <w:t xml:space="preserve"> </w:t>
      </w:r>
      <w:r w:rsidRPr="601A6D1B">
        <w:rPr>
          <w:rFonts w:ascii="Poppins" w:eastAsia="Poppins" w:hAnsi="Poppins" w:cs="Poppins"/>
          <w:color w:val="000000" w:themeColor="text1"/>
          <w:sz w:val="20"/>
          <w:szCs w:val="20"/>
        </w:rPr>
        <w:t xml:space="preserve">facility relocations, hospital renovations, and a new psychiatric unit in Helena to improve capacity management and transitions for individuals with developmental disabilities and mental illness. The Behavioral Health System for Future Generations Commission, created by a 2023 law, recommended these changes as part of a $300 million effort to enhance state services. Gianforte’s budget allocates $100 million to other initiatives and up to $32.5 million for infrastructure projects, including relocating the 12-bed Intensive Behavior Center to Helena or Butte ($13.3M), establishing a 16-bed step-down facility and investing $19.2M in Warm Springs hospital upgrades. Concerns arose over relocating the Intensive Behavior Center from Boulder, a town with a 130-year history of housing state facilities. However, health director Charlie Brereton argued that relocation could offer a larger labor pool, a more homelike setting, and better community integration. The proposed subacute facility, a lower-intensity extension of Montana State Hospital, would support patient transitions from Warm Springs and be co-located with a crisis stabilization center. No construction costs are expected, as an existing building on </w:t>
      </w:r>
      <w:proofErr w:type="spellStart"/>
      <w:r w:rsidRPr="601A6D1B">
        <w:rPr>
          <w:rFonts w:ascii="Poppins" w:eastAsia="Poppins" w:hAnsi="Poppins" w:cs="Poppins"/>
          <w:color w:val="000000" w:themeColor="text1"/>
          <w:sz w:val="20"/>
          <w:szCs w:val="20"/>
        </w:rPr>
        <w:t>Shodair</w:t>
      </w:r>
      <w:proofErr w:type="spellEnd"/>
      <w:r w:rsidRPr="601A6D1B">
        <w:rPr>
          <w:rFonts w:ascii="Poppins" w:eastAsia="Poppins" w:hAnsi="Poppins" w:cs="Poppins"/>
          <w:color w:val="000000" w:themeColor="text1"/>
          <w:sz w:val="20"/>
          <w:szCs w:val="20"/>
        </w:rPr>
        <w:t xml:space="preserve"> Children’s Hospital’s Helena campus has been leased since Nov. 1 to house 20 displaced state hospital patients, though for a different purpose.</w:t>
      </w:r>
    </w:p>
    <w:p w14:paraId="4A97CB20" w14:textId="77777777" w:rsidR="601A6D1B" w:rsidRDefault="601A6D1B" w:rsidP="601A6D1B">
      <w:pPr>
        <w:spacing w:before="120" w:after="120"/>
        <w:rPr>
          <w:rFonts w:ascii="Poppins SemiBold" w:hAnsi="Poppins SemiBold"/>
          <w:color w:val="2F5496" w:themeColor="accent1" w:themeShade="BF"/>
          <w:sz w:val="24"/>
          <w:szCs w:val="24"/>
        </w:rPr>
      </w:pPr>
      <w:r w:rsidRPr="601A6D1B">
        <w:rPr>
          <w:rFonts w:ascii="Poppins SemiBold" w:hAnsi="Poppins SemiBold"/>
          <w:color w:val="2F5496" w:themeColor="accent1" w:themeShade="BF"/>
          <w:sz w:val="24"/>
          <w:szCs w:val="24"/>
        </w:rPr>
        <w:t>Walz Proposes Disability Waiver Spending Cap Amid Rising Costs and Advocacy Concerns</w:t>
      </w:r>
    </w:p>
    <w:p w14:paraId="0B5929F0" w14:textId="6B0B75FF" w:rsidR="601A6D1B" w:rsidRDefault="387BB828" w:rsidP="601A6D1B">
      <w:pPr>
        <w:spacing w:after="240"/>
        <w:rPr>
          <w:rFonts w:ascii="Poppins" w:eastAsia="Poppins" w:hAnsi="Poppins" w:cs="Poppins"/>
          <w:sz w:val="20"/>
          <w:szCs w:val="20"/>
        </w:rPr>
      </w:pPr>
      <w:r w:rsidRPr="387BB828">
        <w:rPr>
          <w:rFonts w:ascii="Poppins" w:eastAsia="Poppins" w:hAnsi="Poppins" w:cs="Poppins"/>
          <w:sz w:val="20"/>
          <w:szCs w:val="20"/>
        </w:rPr>
        <w:t xml:space="preserve">Gov. Tim Walz's latest two-year budget proposal </w:t>
      </w:r>
      <w:hyperlink r:id="rId8">
        <w:r w:rsidRPr="387BB828">
          <w:rPr>
            <w:rFonts w:ascii="Poppins" w:eastAsia="Poppins" w:hAnsi="Poppins" w:cs="Poppins"/>
            <w:color w:val="2F5496" w:themeColor="accent1" w:themeShade="BF"/>
            <w:sz w:val="20"/>
            <w:szCs w:val="20"/>
            <w:u w:val="single"/>
          </w:rPr>
          <w:t>addresses</w:t>
        </w:r>
      </w:hyperlink>
      <w:r w:rsidRPr="387BB828">
        <w:rPr>
          <w:rFonts w:ascii="Poppins" w:eastAsia="Poppins" w:hAnsi="Poppins" w:cs="Poppins"/>
          <w:sz w:val="20"/>
          <w:szCs w:val="20"/>
        </w:rPr>
        <w:t xml:space="preserve"> Minnesota's disability waiver system, which supports around 70,000 people with Medicaid-linked services like transportation and in-home aides, enabling independent living. However, rising costs, projected to increase from $5 billion to $8.5 billion by 2029, have drawn scrutiny. Walz proposed capping annual cost growth at 2% to control spending while maintaining benefits </w:t>
      </w:r>
      <w:r w:rsidRPr="387BB828">
        <w:rPr>
          <w:rFonts w:ascii="Poppins" w:eastAsia="Poppins" w:hAnsi="Poppins" w:cs="Poppins"/>
          <w:sz w:val="20"/>
          <w:szCs w:val="20"/>
        </w:rPr>
        <w:lastRenderedPageBreak/>
        <w:t xml:space="preserve">and avoiding waitlists. Critics argue that limiting automatic inflationary adjustments places the financial burden on people with disabilities, suggesting instead that the state cut bureaucratic inefficiencies and prevent provider profiteering. Care organizations worry reduced funding will worsen staff shortages and depress wages, while legislators like Sen. Jim </w:t>
      </w:r>
      <w:proofErr w:type="spellStart"/>
      <w:r w:rsidRPr="387BB828">
        <w:rPr>
          <w:rFonts w:ascii="Poppins" w:eastAsia="Poppins" w:hAnsi="Poppins" w:cs="Poppins"/>
          <w:sz w:val="20"/>
          <w:szCs w:val="20"/>
        </w:rPr>
        <w:t>Abeler</w:t>
      </w:r>
      <w:proofErr w:type="spellEnd"/>
      <w:r w:rsidRPr="387BB828">
        <w:rPr>
          <w:rFonts w:ascii="Poppins" w:eastAsia="Poppins" w:hAnsi="Poppins" w:cs="Poppins"/>
          <w:sz w:val="20"/>
          <w:szCs w:val="20"/>
        </w:rPr>
        <w:t xml:space="preserve"> caution that restricting resources will make it harder to meet the needs of individuals requiring round-the-clock care. As the Legislature debates cost-saving measures, disability advocates remain vigilant to ensure essential services are protected.</w:t>
      </w:r>
    </w:p>
    <w:p w14:paraId="1D931C05" w14:textId="298C8304" w:rsidR="387BB828" w:rsidRDefault="387BB828" w:rsidP="387BB828">
      <w:pPr>
        <w:spacing w:after="180"/>
        <w:rPr>
          <w:rFonts w:ascii="Poppins SemiBold" w:eastAsia="Poppins SemiBold" w:hAnsi="Poppins SemiBold" w:cs="Poppins SemiBold"/>
          <w:color w:val="2F5496" w:themeColor="accent1" w:themeShade="BF"/>
          <w:sz w:val="24"/>
          <w:szCs w:val="24"/>
        </w:rPr>
      </w:pPr>
      <w:r w:rsidRPr="387BB828">
        <w:rPr>
          <w:rFonts w:ascii="Poppins SemiBold" w:eastAsia="Poppins SemiBold" w:hAnsi="Poppins SemiBold" w:cs="Poppins SemiBold"/>
          <w:color w:val="2F5496" w:themeColor="accent1" w:themeShade="BF"/>
          <w:sz w:val="24"/>
          <w:szCs w:val="24"/>
        </w:rPr>
        <w:t>FDA Approves Non-Opioid Treatment for Acute Pain in Adults</w:t>
      </w:r>
    </w:p>
    <w:p w14:paraId="51814803" w14:textId="13278771" w:rsidR="387BB828" w:rsidRDefault="387BB828" w:rsidP="387BB828">
      <w:pPr>
        <w:rPr>
          <w:rFonts w:ascii="Poppins" w:eastAsia="Poppins" w:hAnsi="Poppins" w:cs="Poppins"/>
          <w:color w:val="000000" w:themeColor="text1"/>
          <w:sz w:val="20"/>
          <w:szCs w:val="20"/>
        </w:rPr>
      </w:pPr>
      <w:r w:rsidRPr="387BB828">
        <w:rPr>
          <w:rFonts w:ascii="Poppins" w:eastAsia="Poppins" w:hAnsi="Poppins" w:cs="Poppins"/>
          <w:color w:val="000000" w:themeColor="text1"/>
          <w:sz w:val="20"/>
          <w:szCs w:val="20"/>
        </w:rPr>
        <w:t xml:space="preserve">On January 30, the Food and Drug Administration (FDA) </w:t>
      </w:r>
      <w:hyperlink r:id="rId9">
        <w:r w:rsidRPr="387BB828">
          <w:rPr>
            <w:rStyle w:val="Hyperlink"/>
            <w:rFonts w:ascii="Poppins" w:eastAsia="Poppins" w:hAnsi="Poppins" w:cs="Poppins"/>
            <w:color w:val="2F5496" w:themeColor="accent1" w:themeShade="BF"/>
            <w:sz w:val="20"/>
            <w:szCs w:val="20"/>
          </w:rPr>
          <w:t>announced</w:t>
        </w:r>
      </w:hyperlink>
      <w:r w:rsidRPr="387BB828">
        <w:rPr>
          <w:rFonts w:ascii="Poppins" w:eastAsia="Poppins" w:hAnsi="Poppins" w:cs="Poppins"/>
          <w:color w:val="000000" w:themeColor="text1"/>
          <w:sz w:val="20"/>
          <w:szCs w:val="20"/>
        </w:rPr>
        <w:t xml:space="preserve"> the agency’s approval of new analgesic </w:t>
      </w:r>
      <w:proofErr w:type="spellStart"/>
      <w:r w:rsidRPr="387BB828">
        <w:rPr>
          <w:rFonts w:ascii="Poppins" w:eastAsia="Poppins" w:hAnsi="Poppins" w:cs="Poppins"/>
          <w:color w:val="000000" w:themeColor="text1"/>
          <w:sz w:val="20"/>
          <w:szCs w:val="20"/>
        </w:rPr>
        <w:t>Journavx</w:t>
      </w:r>
      <w:proofErr w:type="spellEnd"/>
      <w:r w:rsidRPr="387BB828">
        <w:rPr>
          <w:rFonts w:ascii="Poppins" w:eastAsia="Poppins" w:hAnsi="Poppins" w:cs="Poppins"/>
          <w:color w:val="000000" w:themeColor="text1"/>
          <w:sz w:val="20"/>
          <w:szCs w:val="20"/>
        </w:rPr>
        <w:t xml:space="preserve"> (</w:t>
      </w:r>
      <w:proofErr w:type="spellStart"/>
      <w:r w:rsidRPr="387BB828">
        <w:rPr>
          <w:rFonts w:ascii="Poppins" w:eastAsia="Poppins" w:hAnsi="Poppins" w:cs="Poppins"/>
          <w:color w:val="000000" w:themeColor="text1"/>
          <w:sz w:val="20"/>
          <w:szCs w:val="20"/>
        </w:rPr>
        <w:t>suzetrigine</w:t>
      </w:r>
      <w:proofErr w:type="spellEnd"/>
      <w:r w:rsidRPr="387BB828">
        <w:rPr>
          <w:rFonts w:ascii="Poppins" w:eastAsia="Poppins" w:hAnsi="Poppins" w:cs="Poppins"/>
          <w:color w:val="000000" w:themeColor="text1"/>
          <w:sz w:val="20"/>
          <w:szCs w:val="20"/>
        </w:rPr>
        <w:t xml:space="preserve">), which treats moderate-to-severe acute pain in adults without the use of opioids. According to the FDA, </w:t>
      </w:r>
      <w:proofErr w:type="spellStart"/>
      <w:r w:rsidRPr="387BB828">
        <w:rPr>
          <w:rFonts w:ascii="Poppins" w:eastAsia="Poppins" w:hAnsi="Poppins" w:cs="Poppins"/>
          <w:color w:val="000000" w:themeColor="text1"/>
          <w:sz w:val="20"/>
          <w:szCs w:val="20"/>
        </w:rPr>
        <w:t>Journavx</w:t>
      </w:r>
      <w:proofErr w:type="spellEnd"/>
      <w:r w:rsidRPr="387BB828">
        <w:rPr>
          <w:rFonts w:ascii="Poppins" w:eastAsia="Poppins" w:hAnsi="Poppins" w:cs="Poppins"/>
          <w:color w:val="000000" w:themeColor="text1"/>
          <w:sz w:val="20"/>
          <w:szCs w:val="20"/>
        </w:rPr>
        <w:t xml:space="preserve"> works by targeting a pain-signaling pathway involving sodium channels in the peripheral nervous system, stopping pain signals before they reach the brain. This approval is in line with the FDA’s continued promotion of non-opioid pain treatments, and the Trump Administration’s goal of combatting the opioid epidemic. This approval follows </w:t>
      </w:r>
      <w:hyperlink r:id="rId10">
        <w:r w:rsidRPr="387BB828">
          <w:rPr>
            <w:rStyle w:val="Hyperlink"/>
            <w:rFonts w:ascii="Poppins" w:eastAsia="Poppins" w:hAnsi="Poppins" w:cs="Poppins"/>
            <w:color w:val="2F5496" w:themeColor="accent1" w:themeShade="BF"/>
            <w:sz w:val="20"/>
            <w:szCs w:val="20"/>
          </w:rPr>
          <w:t>draft guidance</w:t>
        </w:r>
      </w:hyperlink>
      <w:r w:rsidRPr="387BB828">
        <w:rPr>
          <w:rFonts w:ascii="Poppins" w:eastAsia="Poppins" w:hAnsi="Poppins" w:cs="Poppins"/>
          <w:color w:val="2F5496" w:themeColor="accent1" w:themeShade="BF"/>
          <w:sz w:val="20"/>
          <w:szCs w:val="20"/>
        </w:rPr>
        <w:t xml:space="preserve"> </w:t>
      </w:r>
      <w:r w:rsidRPr="387BB828">
        <w:rPr>
          <w:rFonts w:ascii="Poppins" w:eastAsia="Poppins" w:hAnsi="Poppins" w:cs="Poppins"/>
          <w:color w:val="000000" w:themeColor="text1"/>
          <w:sz w:val="20"/>
          <w:szCs w:val="20"/>
        </w:rPr>
        <w:t xml:space="preserve">released by the agency in 2022 aimed at encouraging the development and dissemination of non-opioid treatments for acute pain and awarding grants to support those goals. </w:t>
      </w:r>
      <w:proofErr w:type="spellStart"/>
      <w:r w:rsidRPr="387BB828">
        <w:rPr>
          <w:rFonts w:ascii="Poppins" w:eastAsia="Poppins" w:hAnsi="Poppins" w:cs="Poppins"/>
          <w:color w:val="000000" w:themeColor="text1"/>
          <w:sz w:val="20"/>
          <w:szCs w:val="20"/>
        </w:rPr>
        <w:t>Journavx’s</w:t>
      </w:r>
      <w:proofErr w:type="spellEnd"/>
      <w:r w:rsidRPr="387BB828">
        <w:rPr>
          <w:rFonts w:ascii="Poppins" w:eastAsia="Poppins" w:hAnsi="Poppins" w:cs="Poppins"/>
          <w:color w:val="000000" w:themeColor="text1"/>
          <w:sz w:val="20"/>
          <w:szCs w:val="20"/>
        </w:rPr>
        <w:t xml:space="preserve"> approval application received </w:t>
      </w:r>
      <w:hyperlink r:id="rId11">
        <w:r w:rsidRPr="387BB828">
          <w:rPr>
            <w:rStyle w:val="Hyperlink"/>
            <w:rFonts w:ascii="Poppins" w:eastAsia="Poppins" w:hAnsi="Poppins" w:cs="Poppins"/>
            <w:color w:val="2F5496" w:themeColor="accent1" w:themeShade="BF"/>
            <w:sz w:val="20"/>
            <w:szCs w:val="20"/>
          </w:rPr>
          <w:t>Breakthrough Therapy,</w:t>
        </w:r>
      </w:hyperlink>
      <w:r w:rsidRPr="387BB828">
        <w:rPr>
          <w:rFonts w:ascii="Poppins" w:eastAsia="Poppins" w:hAnsi="Poppins" w:cs="Poppins"/>
          <w:color w:val="000000" w:themeColor="text1"/>
          <w:sz w:val="20"/>
          <w:szCs w:val="20"/>
        </w:rPr>
        <w:t xml:space="preserve"> </w:t>
      </w:r>
      <w:hyperlink r:id="rId12">
        <w:r w:rsidRPr="387BB828">
          <w:rPr>
            <w:rStyle w:val="Hyperlink"/>
            <w:rFonts w:ascii="Poppins" w:eastAsia="Poppins" w:hAnsi="Poppins" w:cs="Poppins"/>
            <w:color w:val="2F5496" w:themeColor="accent1" w:themeShade="BF"/>
            <w:sz w:val="20"/>
            <w:szCs w:val="20"/>
          </w:rPr>
          <w:t>Fast Track</w:t>
        </w:r>
      </w:hyperlink>
      <w:r w:rsidRPr="387BB828">
        <w:rPr>
          <w:rFonts w:ascii="Poppins" w:eastAsia="Poppins" w:hAnsi="Poppins" w:cs="Poppins"/>
          <w:color w:val="2F5496" w:themeColor="accent1" w:themeShade="BF"/>
          <w:sz w:val="20"/>
          <w:szCs w:val="20"/>
        </w:rPr>
        <w:t> </w:t>
      </w:r>
      <w:r w:rsidRPr="387BB828">
        <w:rPr>
          <w:rFonts w:ascii="Poppins" w:eastAsia="Poppins" w:hAnsi="Poppins" w:cs="Poppins"/>
          <w:color w:val="000000" w:themeColor="text1"/>
          <w:sz w:val="20"/>
          <w:szCs w:val="20"/>
        </w:rPr>
        <w:t>and </w:t>
      </w:r>
      <w:hyperlink r:id="rId13">
        <w:r w:rsidRPr="387BB828">
          <w:rPr>
            <w:rStyle w:val="Hyperlink"/>
            <w:rFonts w:ascii="Poppins" w:eastAsia="Poppins" w:hAnsi="Poppins" w:cs="Poppins"/>
            <w:sz w:val="20"/>
            <w:szCs w:val="20"/>
          </w:rPr>
          <w:t>P</w:t>
        </w:r>
        <w:r w:rsidRPr="387BB828">
          <w:rPr>
            <w:rStyle w:val="Hyperlink"/>
            <w:rFonts w:ascii="Poppins" w:eastAsia="Poppins" w:hAnsi="Poppins" w:cs="Poppins"/>
            <w:color w:val="2F5496" w:themeColor="accent1" w:themeShade="BF"/>
            <w:sz w:val="20"/>
            <w:szCs w:val="20"/>
          </w:rPr>
          <w:t>riority Review</w:t>
        </w:r>
      </w:hyperlink>
      <w:r w:rsidRPr="387BB828">
        <w:rPr>
          <w:rFonts w:ascii="Poppins" w:eastAsia="Poppins" w:hAnsi="Poppins" w:cs="Poppins"/>
          <w:color w:val="000000" w:themeColor="text1"/>
          <w:sz w:val="20"/>
          <w:szCs w:val="20"/>
        </w:rPr>
        <w:t> designations by the FDA, and marks a milestone in both acute pain treatment and the prevention of opioid use disorder.</w:t>
      </w:r>
    </w:p>
    <w:p w14:paraId="782F3F55" w14:textId="1C944D13" w:rsidR="387BB828" w:rsidRDefault="387BB828" w:rsidP="387BB828">
      <w:pPr>
        <w:rPr>
          <w:rFonts w:ascii="Poppins SemiBold" w:eastAsia="Poppins SemiBold" w:hAnsi="Poppins SemiBold" w:cs="Poppins SemiBold"/>
          <w:color w:val="2F5496" w:themeColor="accent1" w:themeShade="BF"/>
          <w:sz w:val="24"/>
          <w:szCs w:val="24"/>
        </w:rPr>
      </w:pPr>
      <w:r w:rsidRPr="387BB828">
        <w:rPr>
          <w:rFonts w:ascii="Poppins SemiBold" w:eastAsia="Poppins SemiBold" w:hAnsi="Poppins SemiBold" w:cs="Poppins SemiBold"/>
          <w:color w:val="2F5496" w:themeColor="accent1" w:themeShade="BF"/>
          <w:sz w:val="24"/>
          <w:szCs w:val="24"/>
        </w:rPr>
        <w:t>Lawmakers Seek Clarification on Trump's Revocation of Executive Order 14087 and Its Impact on Prescription Drug Costs</w:t>
      </w:r>
    </w:p>
    <w:p w14:paraId="7A0E3245" w14:textId="1D89CD0D" w:rsidR="387BB828" w:rsidRDefault="387BB828" w:rsidP="387BB828">
      <w:pPr>
        <w:shd w:val="clear" w:color="auto" w:fill="FFFFFF" w:themeFill="background1"/>
        <w:spacing w:after="240"/>
        <w:rPr>
          <w:rFonts w:ascii="Poppins" w:eastAsia="Poppins" w:hAnsi="Poppins" w:cs="Poppins"/>
          <w:color w:val="333333"/>
          <w:sz w:val="20"/>
          <w:szCs w:val="20"/>
        </w:rPr>
      </w:pPr>
      <w:r w:rsidRPr="387BB828">
        <w:rPr>
          <w:rFonts w:ascii="Poppins" w:eastAsia="Poppins" w:hAnsi="Poppins" w:cs="Poppins"/>
          <w:color w:val="333333"/>
          <w:sz w:val="20"/>
          <w:szCs w:val="20"/>
        </w:rPr>
        <w:t xml:space="preserve">In a letter led by Congresswoman Shontel Brown (OH-11) and signed by 51 colleagues, members of Congress are </w:t>
      </w:r>
      <w:hyperlink r:id="rId14">
        <w:r w:rsidRPr="387BB828">
          <w:rPr>
            <w:rStyle w:val="Hyperlink"/>
            <w:rFonts w:ascii="Poppins" w:eastAsia="Poppins" w:hAnsi="Poppins" w:cs="Poppins"/>
            <w:color w:val="2F5496" w:themeColor="accent1" w:themeShade="BF"/>
            <w:sz w:val="20"/>
            <w:szCs w:val="20"/>
          </w:rPr>
          <w:t>requesting</w:t>
        </w:r>
      </w:hyperlink>
      <w:r w:rsidRPr="387BB828">
        <w:rPr>
          <w:rFonts w:ascii="Poppins" w:eastAsia="Poppins" w:hAnsi="Poppins" w:cs="Poppins"/>
          <w:color w:val="333333"/>
          <w:sz w:val="20"/>
          <w:szCs w:val="20"/>
        </w:rPr>
        <w:t xml:space="preserve"> clarification from the Trump Administration, specifically the Secretary of Health and Human Services (HHS), on the impact of the </w:t>
      </w:r>
      <w:hyperlink r:id="rId15">
        <w:r w:rsidRPr="387BB828">
          <w:rPr>
            <w:rStyle w:val="Hyperlink"/>
            <w:rFonts w:ascii="Poppins" w:eastAsia="Poppins" w:hAnsi="Poppins" w:cs="Poppins"/>
            <w:color w:val="2F5496" w:themeColor="accent1" w:themeShade="BF"/>
            <w:sz w:val="20"/>
            <w:szCs w:val="20"/>
          </w:rPr>
          <w:t>rescission of Executive Order 14087</w:t>
        </w:r>
      </w:hyperlink>
      <w:r w:rsidRPr="387BB828">
        <w:rPr>
          <w:rFonts w:ascii="Poppins" w:eastAsia="Poppins" w:hAnsi="Poppins" w:cs="Poppins"/>
          <w:color w:val="333333"/>
          <w:sz w:val="20"/>
          <w:szCs w:val="20"/>
        </w:rPr>
        <w:t>, which aimed to lower prescription drug costs for Medicare and Medicaid recipients. The order’s revocation threatens three key programs: a $2 Medicare drug list, a Cell and Gene Therapy Access Model, and an Accelerating Clinical Evidence Model, all designed to enhance affordability, equity, and access to critical treatments. With prescription drug prices rising faster than inflation and three in ten adults struggling to afford prescribed medications, Brown and her colleagues emphasize the need for alternatives to prevent further financial strain on vulnerable communities. They urge HHS to address the policy gaps created by this decision and ensure continued efforts toward equitable, affordable healthcare.</w:t>
      </w:r>
    </w:p>
    <w:p w14:paraId="310B511C" w14:textId="77777777" w:rsidR="00AF58E7" w:rsidRDefault="00AF58E7" w:rsidP="00AF58E7">
      <w:pPr>
        <w:spacing w:before="120" w:after="120"/>
        <w:rPr>
          <w:rFonts w:ascii="Poppins SemiBold" w:hAnsi="Poppins SemiBold"/>
          <w:color w:val="2F5496" w:themeColor="accent1" w:themeShade="BF"/>
          <w:sz w:val="24"/>
          <w:szCs w:val="24"/>
        </w:rPr>
      </w:pPr>
      <w:r w:rsidRPr="601A6D1B">
        <w:rPr>
          <w:rFonts w:ascii="Poppins SemiBold" w:hAnsi="Poppins SemiBold"/>
          <w:color w:val="2F5496" w:themeColor="accent1" w:themeShade="BF"/>
          <w:sz w:val="24"/>
          <w:szCs w:val="24"/>
        </w:rPr>
        <w:t>Study Shows Declining Trust in U.S. Health Agencies and Growing Vaccine Hesitancy</w:t>
      </w:r>
    </w:p>
    <w:p w14:paraId="638CF120" w14:textId="44293497" w:rsidR="00AF58E7" w:rsidRPr="00AF58E7" w:rsidRDefault="00AF58E7" w:rsidP="00AF58E7">
      <w:pPr>
        <w:spacing w:after="240"/>
        <w:rPr>
          <w:rFonts w:ascii="Poppins" w:eastAsia="Poppins" w:hAnsi="Poppins" w:cs="Poppins"/>
          <w:sz w:val="20"/>
          <w:szCs w:val="20"/>
        </w:rPr>
      </w:pPr>
      <w:r w:rsidRPr="601A6D1B">
        <w:rPr>
          <w:rFonts w:ascii="Poppins" w:eastAsia="Poppins" w:hAnsi="Poppins" w:cs="Poppins"/>
          <w:sz w:val="20"/>
          <w:szCs w:val="20"/>
        </w:rPr>
        <w:lastRenderedPageBreak/>
        <w:t xml:space="preserve">A study </w:t>
      </w:r>
      <w:hyperlink r:id="rId16">
        <w:r w:rsidRPr="601A6D1B">
          <w:rPr>
            <w:rFonts w:ascii="Poppins" w:eastAsia="Poppins" w:hAnsi="Poppins" w:cs="Poppins"/>
            <w:color w:val="2F5496" w:themeColor="accent1" w:themeShade="BF"/>
            <w:sz w:val="20"/>
            <w:szCs w:val="20"/>
            <w:u w:val="single"/>
          </w:rPr>
          <w:t>published</w:t>
        </w:r>
      </w:hyperlink>
      <w:r w:rsidRPr="601A6D1B">
        <w:rPr>
          <w:rFonts w:ascii="Poppins" w:eastAsia="Poppins" w:hAnsi="Poppins" w:cs="Poppins"/>
          <w:sz w:val="20"/>
          <w:szCs w:val="20"/>
        </w:rPr>
        <w:t xml:space="preserve"> by KFF found that public trust in U.S. government health agencies has declined, a trend that began during the COVID-19 pandemic. Over the past 18 months, trust in the CDC fell from 66% to 61%, while confidence in the FDA and state and local public health officials dropped from 65% to 53% and 64% to 54%, respectively. Despite this, individual doctors remain the most trusted sources of health information, though trust in them has declined from 93% to 85%. Partisan divides continue, with Democrats expressing significantly higher trust in agencies like HHS, CDC, and FDA than Republicans. Meanwhile, Republicans are more likely to trust President Trump, Robert F. Kennedy Jr., and Dr. Mehmet Oz for health recommendations. While 82% of parents keep their children up to date with recommended vaccines, vaccine hesitancy has grown. The percentage of parents delaying or skipping childhood vaccines has increased to 17%, up from 10% in 2023, with the figure doubling to 26% among Republican parents. Misinformation plays a significant role, as those who believe the debunked claim that MMR vaccines cause autism are four times more likely to skip childhood vaccinations. Similarly, nearly half of adults have encountered the false claim that more people have died from COVID-19 vaccines than from the virus itself, with belief in this myth rising by almost a quarter among Republicans since 2023. Looking ahead, opinions on the government's preparedness for another pandemic are mixed. While four in ten believe the U.S. is now more prepared than in 2020, one-quarter think it is less prepared.</w:t>
      </w:r>
    </w:p>
    <w:p w14:paraId="2E8C2CD0" w14:textId="77777777" w:rsidR="00B334CC" w:rsidRDefault="601A6D1B" w:rsidP="601A6D1B">
      <w:pPr>
        <w:spacing w:before="120" w:after="120"/>
        <w:rPr>
          <w:rFonts w:ascii="Poppins SemiBold" w:hAnsi="Poppins SemiBold"/>
          <w:color w:val="2F5496" w:themeColor="accent1" w:themeShade="BF"/>
          <w:sz w:val="24"/>
          <w:szCs w:val="24"/>
        </w:rPr>
      </w:pPr>
      <w:r w:rsidRPr="601A6D1B">
        <w:rPr>
          <w:rFonts w:ascii="Poppins SemiBold" w:hAnsi="Poppins SemiBold"/>
          <w:color w:val="2F5496" w:themeColor="accent1" w:themeShade="BF"/>
          <w:sz w:val="24"/>
          <w:szCs w:val="24"/>
        </w:rPr>
        <w:t>KFF Analysis Shows HealthCare.gov Insurers Denied Nearly 1 in 5 In-Network Claims in 2023</w:t>
      </w:r>
    </w:p>
    <w:p w14:paraId="3309D300" w14:textId="65348327" w:rsidR="00B334CC" w:rsidRDefault="601A6D1B" w:rsidP="601A6D1B">
      <w:pPr>
        <w:spacing w:after="240"/>
        <w:rPr>
          <w:rFonts w:ascii="Poppins" w:eastAsia="Poppins" w:hAnsi="Poppins" w:cs="Poppins"/>
          <w:sz w:val="20"/>
          <w:szCs w:val="20"/>
        </w:rPr>
      </w:pPr>
      <w:r w:rsidRPr="601A6D1B">
        <w:rPr>
          <w:rFonts w:ascii="Poppins" w:eastAsia="Poppins" w:hAnsi="Poppins" w:cs="Poppins"/>
          <w:sz w:val="20"/>
          <w:szCs w:val="20"/>
        </w:rPr>
        <w:t xml:space="preserve">A new Kaiser Family Foundation (KFF) </w:t>
      </w:r>
      <w:hyperlink r:id="rId17">
        <w:r w:rsidRPr="601A6D1B">
          <w:rPr>
            <w:rFonts w:ascii="Poppins" w:eastAsia="Poppins" w:hAnsi="Poppins" w:cs="Poppins"/>
            <w:color w:val="2F5496" w:themeColor="accent1" w:themeShade="BF"/>
            <w:sz w:val="20"/>
            <w:szCs w:val="20"/>
            <w:u w:val="single"/>
          </w:rPr>
          <w:t>analysis</w:t>
        </w:r>
      </w:hyperlink>
      <w:r w:rsidRPr="601A6D1B">
        <w:rPr>
          <w:rFonts w:ascii="Poppins" w:eastAsia="Poppins" w:hAnsi="Poppins" w:cs="Poppins"/>
          <w:sz w:val="20"/>
          <w:szCs w:val="20"/>
        </w:rPr>
        <w:t xml:space="preserve"> reveals that in 2023, insurers offering plans on HealthCare.gov denied 19% of in-network claims and 37% of out-of-network claims. The </w:t>
      </w:r>
      <w:hyperlink r:id="rId18">
        <w:r w:rsidRPr="601A6D1B">
          <w:rPr>
            <w:rFonts w:ascii="Poppins" w:eastAsia="Poppins" w:hAnsi="Poppins" w:cs="Poppins"/>
            <w:color w:val="2F5496" w:themeColor="accent1" w:themeShade="BF"/>
            <w:sz w:val="20"/>
            <w:szCs w:val="20"/>
            <w:u w:val="single"/>
          </w:rPr>
          <w:t>study</w:t>
        </w:r>
      </w:hyperlink>
      <w:r w:rsidRPr="601A6D1B">
        <w:rPr>
          <w:rFonts w:ascii="Poppins" w:eastAsia="Poppins" w:hAnsi="Poppins" w:cs="Poppins"/>
          <w:sz w:val="20"/>
          <w:szCs w:val="20"/>
        </w:rPr>
        <w:t xml:space="preserve">, based on publicly available data required under the Affordable Care Act, highlights significant variation among insurers, with in-network denial rates ranging from 1% to 54%. Notable high-volume insurers with higher denial rates include Blue Cross Blue Shield of Alabama (35%), UnitedHealth Group (33%), and Health Care Service Corporation (29%). The most common reasons for in-network claim denials included a general "other" category (34%), excluded services (16%), lack of prior authorization or referral (9%), and medical necessity (6%). Consumers appealed only 1% of denied in-network claims, and insurers upheld 56% of those denials. Few consumers pursued external appeals. The analysis reviewed data from 425 million claims submitted to 175 insurers on HealthCare.gov in 2023, excluding state-based marketplace and employer health plans. </w:t>
      </w:r>
    </w:p>
    <w:p w14:paraId="5C5F5FDA" w14:textId="77777777" w:rsidR="00B334CC" w:rsidRDefault="601A6D1B" w:rsidP="601A6D1B">
      <w:pPr>
        <w:spacing w:before="120" w:after="120"/>
        <w:rPr>
          <w:rFonts w:ascii="Poppins SemiBold" w:hAnsi="Poppins SemiBold"/>
          <w:color w:val="2F5496" w:themeColor="accent1" w:themeShade="BF"/>
          <w:sz w:val="24"/>
          <w:szCs w:val="24"/>
        </w:rPr>
      </w:pPr>
      <w:r w:rsidRPr="601A6D1B">
        <w:rPr>
          <w:rFonts w:ascii="Poppins SemiBold" w:hAnsi="Poppins SemiBold"/>
          <w:color w:val="2F5496" w:themeColor="accent1" w:themeShade="BF"/>
          <w:sz w:val="24"/>
          <w:szCs w:val="24"/>
        </w:rPr>
        <w:t xml:space="preserve">Trump Administration Rescinds Memo on Federal Aid Freeze Amid Confusion </w:t>
      </w:r>
    </w:p>
    <w:p w14:paraId="313C0068" w14:textId="2AF79BB3" w:rsidR="00B334CC" w:rsidRDefault="798567B4" w:rsidP="601A6D1B">
      <w:pPr>
        <w:spacing w:after="240"/>
        <w:rPr>
          <w:rFonts w:ascii="Poppins" w:eastAsia="Poppins" w:hAnsi="Poppins" w:cs="Poppins"/>
          <w:sz w:val="20"/>
          <w:szCs w:val="20"/>
        </w:rPr>
      </w:pPr>
      <w:r w:rsidRPr="798567B4">
        <w:rPr>
          <w:rFonts w:ascii="Poppins" w:eastAsia="Poppins" w:hAnsi="Poppins" w:cs="Poppins"/>
          <w:sz w:val="20"/>
          <w:szCs w:val="20"/>
        </w:rPr>
        <w:t xml:space="preserve">The White House Office of Management and Budget (OMB) </w:t>
      </w:r>
      <w:hyperlink r:id="rId19">
        <w:r w:rsidRPr="798567B4">
          <w:rPr>
            <w:rFonts w:ascii="Poppins" w:eastAsia="Poppins" w:hAnsi="Poppins" w:cs="Poppins"/>
            <w:color w:val="2F5496" w:themeColor="accent1" w:themeShade="BF"/>
            <w:sz w:val="20"/>
            <w:szCs w:val="20"/>
            <w:u w:val="single"/>
          </w:rPr>
          <w:t>rescinded a memo</w:t>
        </w:r>
      </w:hyperlink>
      <w:r w:rsidRPr="798567B4">
        <w:rPr>
          <w:rFonts w:ascii="Poppins" w:eastAsia="Poppins" w:hAnsi="Poppins" w:cs="Poppins"/>
          <w:sz w:val="20"/>
          <w:szCs w:val="20"/>
        </w:rPr>
        <w:t xml:space="preserve"> issued on Monday that had temporarily frozen federal grants and loans, causing significant confusion among federal agencies and the public. White House Press Secretary Karoline Leavitt clarified that while the memo has been revoked, all executive orders issued by President Trump—</w:t>
      </w:r>
      <w:r w:rsidRPr="798567B4">
        <w:rPr>
          <w:rFonts w:ascii="Poppins" w:eastAsia="Poppins" w:hAnsi="Poppins" w:cs="Poppins"/>
          <w:sz w:val="20"/>
          <w:szCs w:val="20"/>
        </w:rPr>
        <w:lastRenderedPageBreak/>
        <w:t xml:space="preserve">including the suspension of certain aid and the rollback of diversity, equity, and inclusion (DEI) initiatives—remain in effect. The original directive, issued by Acting OMB Director Matthew Vaeth, instructed federal agencies to pause all obligations and disbursements of federal financial assistance. However, the order was partially blocked by a federal judge before the Trump Administration formally reversed it. White House officials stated that the pause was intended to assess whether federal spending aligned with the President’s executive orders on </w:t>
      </w:r>
      <w:proofErr w:type="gramStart"/>
      <w:r w:rsidRPr="798567B4">
        <w:rPr>
          <w:rFonts w:ascii="Poppins" w:eastAsia="Poppins" w:hAnsi="Poppins" w:cs="Poppins"/>
          <w:sz w:val="20"/>
          <w:szCs w:val="20"/>
        </w:rPr>
        <w:t>key policy</w:t>
      </w:r>
      <w:proofErr w:type="gramEnd"/>
      <w:r w:rsidRPr="798567B4">
        <w:rPr>
          <w:rFonts w:ascii="Poppins" w:eastAsia="Poppins" w:hAnsi="Poppins" w:cs="Poppins"/>
          <w:sz w:val="20"/>
          <w:szCs w:val="20"/>
        </w:rPr>
        <w:t xml:space="preserve"> areas such as climate change, DEI, and immigration. In announcing the memo’s rescission, the press secretary expressed the Administration’s hope that this action would resolve ongoing litigation and allow the federal government to focus on advancing the President’s policy agenda.</w:t>
      </w:r>
    </w:p>
    <w:p w14:paraId="7103CAB4" w14:textId="77777777" w:rsidR="601A6D1B" w:rsidRDefault="601A6D1B" w:rsidP="601A6D1B">
      <w:pPr>
        <w:spacing w:before="120" w:after="120"/>
        <w:rPr>
          <w:rFonts w:ascii="Poppins SemiBold" w:hAnsi="Poppins SemiBold"/>
          <w:color w:val="2F5496" w:themeColor="accent1" w:themeShade="BF"/>
          <w:sz w:val="24"/>
          <w:szCs w:val="24"/>
        </w:rPr>
      </w:pPr>
      <w:r w:rsidRPr="601A6D1B">
        <w:rPr>
          <w:rFonts w:ascii="Poppins SemiBold" w:hAnsi="Poppins SemiBold"/>
          <w:color w:val="2F5496" w:themeColor="accent1" w:themeShade="BF"/>
          <w:sz w:val="24"/>
          <w:szCs w:val="24"/>
        </w:rPr>
        <w:t>CDC Deputy Director for Global Health Orders CDC Employees to Stop Working with WHO Effective Immediately</w:t>
      </w:r>
    </w:p>
    <w:p w14:paraId="12099134" w14:textId="377425AE" w:rsidR="601A6D1B" w:rsidRDefault="798567B4" w:rsidP="601A6D1B">
      <w:pPr>
        <w:spacing w:after="240"/>
        <w:rPr>
          <w:rFonts w:ascii="Poppins" w:eastAsia="Poppins" w:hAnsi="Poppins" w:cs="Poppins"/>
          <w:sz w:val="20"/>
          <w:szCs w:val="20"/>
        </w:rPr>
      </w:pPr>
      <w:r w:rsidRPr="798567B4">
        <w:rPr>
          <w:rFonts w:ascii="Poppins" w:eastAsia="Poppins" w:hAnsi="Poppins" w:cs="Poppins"/>
          <w:sz w:val="20"/>
          <w:szCs w:val="20"/>
        </w:rPr>
        <w:t xml:space="preserve">The Centers for Disease Control and Prevention (CDC) </w:t>
      </w:r>
      <w:hyperlink r:id="rId20">
        <w:r w:rsidRPr="798567B4">
          <w:rPr>
            <w:rFonts w:ascii="Poppins" w:eastAsia="Poppins" w:hAnsi="Poppins" w:cs="Poppins"/>
            <w:color w:val="2F5496" w:themeColor="accent1" w:themeShade="BF"/>
            <w:sz w:val="20"/>
            <w:szCs w:val="20"/>
            <w:u w:val="single"/>
          </w:rPr>
          <w:t>Deputy Director for Global Health</w:t>
        </w:r>
      </w:hyperlink>
      <w:r w:rsidRPr="798567B4">
        <w:rPr>
          <w:rFonts w:ascii="Poppins" w:eastAsia="Poppins" w:hAnsi="Poppins" w:cs="Poppins"/>
          <w:sz w:val="20"/>
          <w:szCs w:val="20"/>
        </w:rPr>
        <w:t xml:space="preserve"> John </w:t>
      </w:r>
      <w:proofErr w:type="spellStart"/>
      <w:r w:rsidRPr="798567B4">
        <w:rPr>
          <w:rFonts w:ascii="Poppins" w:eastAsia="Poppins" w:hAnsi="Poppins" w:cs="Poppins"/>
          <w:sz w:val="20"/>
          <w:szCs w:val="20"/>
        </w:rPr>
        <w:t>Nkengasong</w:t>
      </w:r>
      <w:proofErr w:type="spellEnd"/>
      <w:r w:rsidRPr="798567B4">
        <w:rPr>
          <w:rFonts w:ascii="Poppins" w:eastAsia="Poppins" w:hAnsi="Poppins" w:cs="Poppins"/>
          <w:sz w:val="20"/>
          <w:szCs w:val="20"/>
        </w:rPr>
        <w:t xml:space="preserve"> </w:t>
      </w:r>
      <w:hyperlink r:id="rId21">
        <w:r w:rsidRPr="798567B4">
          <w:rPr>
            <w:rFonts w:ascii="Poppins" w:eastAsia="Poppins" w:hAnsi="Poppins" w:cs="Poppins"/>
            <w:color w:val="2F5496" w:themeColor="accent1" w:themeShade="BF"/>
            <w:sz w:val="20"/>
            <w:szCs w:val="20"/>
            <w:u w:val="single"/>
          </w:rPr>
          <w:t>sent an internal memo</w:t>
        </w:r>
      </w:hyperlink>
      <w:r w:rsidRPr="798567B4">
        <w:rPr>
          <w:rFonts w:ascii="Poppins" w:eastAsia="Poppins" w:hAnsi="Poppins" w:cs="Poppins"/>
          <w:sz w:val="20"/>
          <w:szCs w:val="20"/>
        </w:rPr>
        <w:t xml:space="preserve"> to CDC senior leaders instructing them to immediately stop communications with the World Health Organization (WHO) and await further guidance. The stop-work policy applied to “all CDC staff engaging with the WHO through technical working groups, coordinating centers, advisory boards, cooperative agreements, or other means” including in-person and virtual work. All CDC employees were also barred from visiting WHO offices. This action follows President Trump’s </w:t>
      </w:r>
      <w:hyperlink r:id="rId22">
        <w:r w:rsidRPr="798567B4">
          <w:rPr>
            <w:rFonts w:ascii="Poppins" w:eastAsia="Poppins" w:hAnsi="Poppins" w:cs="Poppins"/>
            <w:color w:val="2F5496" w:themeColor="accent1" w:themeShade="BF"/>
            <w:sz w:val="20"/>
            <w:szCs w:val="20"/>
            <w:u w:val="single"/>
          </w:rPr>
          <w:t>announcement</w:t>
        </w:r>
      </w:hyperlink>
      <w:r w:rsidRPr="798567B4">
        <w:rPr>
          <w:rFonts w:ascii="Poppins" w:eastAsia="Poppins" w:hAnsi="Poppins" w:cs="Poppins"/>
          <w:sz w:val="20"/>
          <w:szCs w:val="20"/>
        </w:rPr>
        <w:t xml:space="preserve"> of the US’s withdrawal from WHO via an executive order, which requires Congressional approval to be finalized. Public health experts have raised concerns about the negative impacts of this decision on international investigative work on outbreaks of Marburg virus, mpox, and domestic investigations of </w:t>
      </w:r>
      <w:hyperlink r:id="rId23">
        <w:r w:rsidRPr="798567B4">
          <w:rPr>
            <w:rFonts w:ascii="Poppins" w:eastAsia="Poppins" w:hAnsi="Poppins" w:cs="Poppins"/>
            <w:color w:val="2F5496" w:themeColor="accent1" w:themeShade="BF"/>
            <w:sz w:val="20"/>
            <w:szCs w:val="20"/>
            <w:u w:val="single"/>
          </w:rPr>
          <w:t>bird flu</w:t>
        </w:r>
      </w:hyperlink>
      <w:r w:rsidRPr="798567B4">
        <w:rPr>
          <w:rFonts w:ascii="Poppins" w:eastAsia="Poppins" w:hAnsi="Poppins" w:cs="Poppins"/>
          <w:sz w:val="20"/>
          <w:szCs w:val="20"/>
        </w:rPr>
        <w:t>.</w:t>
      </w:r>
    </w:p>
    <w:p w14:paraId="789325FA" w14:textId="13359548" w:rsidR="00B334CC" w:rsidRDefault="6C3F4EE8" w:rsidP="6C3F4EE8">
      <w:pPr>
        <w:spacing w:after="240"/>
        <w:rPr>
          <w:rFonts w:ascii="Poppins" w:eastAsia="Poppins" w:hAnsi="Poppins" w:cs="Poppins"/>
          <w:color w:val="2F5496" w:themeColor="accent1" w:themeShade="BF"/>
          <w:sz w:val="20"/>
          <w:szCs w:val="20"/>
        </w:rPr>
      </w:pPr>
      <w:r w:rsidRPr="6C3F4EE8">
        <w:rPr>
          <w:rFonts w:ascii="Poppins SemiBold" w:hAnsi="Poppins SemiBold"/>
          <w:color w:val="2F5496" w:themeColor="accent1" w:themeShade="BF"/>
          <w:sz w:val="32"/>
          <w:szCs w:val="32"/>
        </w:rPr>
        <w:t>What’s on Tap</w:t>
      </w:r>
    </w:p>
    <w:p w14:paraId="751E78C4" w14:textId="77777777" w:rsidR="00AF58E7" w:rsidRPr="00AF58E7" w:rsidRDefault="00AF58E7" w:rsidP="00AF58E7">
      <w:pPr>
        <w:tabs>
          <w:tab w:val="left" w:pos="5397"/>
        </w:tabs>
        <w:spacing w:after="0"/>
        <w:rPr>
          <w:rFonts w:ascii="Poppins" w:eastAsia="Calibri" w:hAnsi="Poppins" w:cs="Poppins"/>
          <w:sz w:val="20"/>
          <w:szCs w:val="20"/>
        </w:rPr>
      </w:pPr>
      <w:r w:rsidRPr="00AF58E7">
        <w:rPr>
          <w:rFonts w:ascii="Poppins" w:eastAsia="Calibri" w:hAnsi="Poppins" w:cs="Poppins"/>
          <w:sz w:val="20"/>
          <w:szCs w:val="20"/>
        </w:rPr>
        <w:t xml:space="preserve">Last week, the Senate held confirmation hearings for three of President Trump’s cabinet nominees: Tulsi Gabbard for Director of National Intelligence, Kash Patel for FBI Director, and Robert F. Kennedy Jr. for Secretary of the Health and Human Services Department (HHS). While both Patel and Gabbard’s nominations face varying degrees of Republican pushback (and nearly universal Democratic opposition), Mr. Kennedy’s nomination is set to come up for a vote before the Senate Finance Committee on Tuesday. </w:t>
      </w:r>
    </w:p>
    <w:p w14:paraId="72860B6A" w14:textId="77777777" w:rsidR="00AF58E7" w:rsidRDefault="00AF58E7" w:rsidP="00AF58E7">
      <w:pPr>
        <w:tabs>
          <w:tab w:val="left" w:pos="5397"/>
        </w:tabs>
        <w:spacing w:after="0"/>
        <w:rPr>
          <w:rFonts w:ascii="Poppins" w:eastAsia="Calibri" w:hAnsi="Poppins" w:cs="Poppins"/>
          <w:sz w:val="20"/>
          <w:szCs w:val="20"/>
        </w:rPr>
      </w:pPr>
    </w:p>
    <w:p w14:paraId="72E9E6EC" w14:textId="62C4272A" w:rsidR="00AF58E7" w:rsidRPr="00AF58E7" w:rsidRDefault="00AF58E7" w:rsidP="00AF58E7">
      <w:pPr>
        <w:tabs>
          <w:tab w:val="left" w:pos="5397"/>
        </w:tabs>
        <w:spacing w:after="0"/>
        <w:rPr>
          <w:rFonts w:ascii="Poppins" w:eastAsia="Calibri" w:hAnsi="Poppins" w:cs="Poppins"/>
          <w:sz w:val="20"/>
          <w:szCs w:val="20"/>
        </w:rPr>
      </w:pPr>
      <w:r w:rsidRPr="00AF58E7">
        <w:rPr>
          <w:rFonts w:ascii="Poppins" w:eastAsia="Poppins" w:hAnsi="Poppins" w:cs="Poppins"/>
          <w:sz w:val="20"/>
          <w:szCs w:val="20"/>
        </w:rPr>
        <w:t xml:space="preserve">During the hearings, Kennedy reiterated his commitment to the Make America Healthy Again (MAHA) campaign by addressing environmental toxins that cause obesity, investigating the rising prevalence of autism in children, and overhauling agency personnel, especially in the Food and Drug Administration (FDA) and National Institutes of Health (NIH), to promote “good” science. Senators of both parties repeatedly questioned his personal beliefs and </w:t>
      </w:r>
      <w:r w:rsidRPr="00AF58E7">
        <w:rPr>
          <w:rFonts w:ascii="Poppins" w:eastAsia="Poppins" w:hAnsi="Poppins" w:cs="Poppins"/>
          <w:sz w:val="20"/>
          <w:szCs w:val="20"/>
        </w:rPr>
        <w:lastRenderedPageBreak/>
        <w:t xml:space="preserve">professional ties to anti-vaccination sentiments, presenting a variety of research studies demonstrating vaccination does not cause autism, and urging Kennedy to use his influence to encourage vaccination and prevent deaths from vaccine-preventable diseases. Kennedy remained steadfast in his belief that his vaccine skepticism is healthy and stated that he is open to scientific evidence that proves vaccine safety. </w:t>
      </w:r>
      <w:r>
        <w:rPr>
          <w:rFonts w:ascii="Poppins" w:eastAsia="Poppins" w:hAnsi="Poppins" w:cs="Poppins"/>
          <w:sz w:val="20"/>
          <w:szCs w:val="20"/>
        </w:rPr>
        <w:t xml:space="preserve">Importantly, </w:t>
      </w:r>
      <w:r>
        <w:rPr>
          <w:rFonts w:ascii="Poppins" w:eastAsia="Calibri" w:hAnsi="Poppins" w:cs="Poppins"/>
          <w:sz w:val="20"/>
          <w:szCs w:val="20"/>
        </w:rPr>
        <w:t xml:space="preserve">Kennedy </w:t>
      </w:r>
      <w:r w:rsidRPr="00AF58E7">
        <w:rPr>
          <w:rFonts w:ascii="Poppins" w:eastAsia="Calibri" w:hAnsi="Poppins" w:cs="Poppins"/>
          <w:sz w:val="20"/>
          <w:szCs w:val="20"/>
        </w:rPr>
        <w:t xml:space="preserve">reportedly won the support of Senate Finance Committee member Sen. Todd Young (R-IN). The recent endorsement creates a feasible path forward for the former presidential candidate, but prominent Senate Republican and physician, Bill Cassidy (R-LA), is still </w:t>
      </w:r>
      <w:hyperlink r:id="rId24" w:history="1">
        <w:r w:rsidRPr="00AF58E7">
          <w:rPr>
            <w:rStyle w:val="Hyperlink"/>
            <w:rFonts w:ascii="Poppins" w:eastAsia="Calibri" w:hAnsi="Poppins" w:cs="Poppins"/>
            <w:sz w:val="20"/>
            <w:szCs w:val="20"/>
          </w:rPr>
          <w:t>yet to indicate</w:t>
        </w:r>
      </w:hyperlink>
      <w:r w:rsidRPr="00AF58E7">
        <w:rPr>
          <w:rFonts w:ascii="Poppins" w:eastAsia="Calibri" w:hAnsi="Poppins" w:cs="Poppins"/>
          <w:sz w:val="20"/>
          <w:szCs w:val="20"/>
        </w:rPr>
        <w:t xml:space="preserve"> how he will vote on Kennedy’s nomination after continued doubts regarding his vaccine stance. </w:t>
      </w:r>
    </w:p>
    <w:p w14:paraId="714052AF" w14:textId="77777777" w:rsidR="00AF58E7" w:rsidRPr="00AF58E7" w:rsidRDefault="00AF58E7" w:rsidP="00AF58E7">
      <w:pPr>
        <w:tabs>
          <w:tab w:val="left" w:pos="5397"/>
        </w:tabs>
        <w:spacing w:after="0"/>
        <w:rPr>
          <w:rFonts w:ascii="Poppins" w:eastAsia="Calibri" w:hAnsi="Poppins" w:cs="Poppins"/>
          <w:sz w:val="20"/>
          <w:szCs w:val="20"/>
        </w:rPr>
      </w:pPr>
    </w:p>
    <w:p w14:paraId="5A46D5CC" w14:textId="14B15A82" w:rsidR="00AF58E7" w:rsidRPr="00AF58E7" w:rsidRDefault="00AF58E7" w:rsidP="00AF58E7">
      <w:pPr>
        <w:tabs>
          <w:tab w:val="left" w:pos="5397"/>
        </w:tabs>
        <w:spacing w:after="0"/>
        <w:rPr>
          <w:rFonts w:ascii="Poppins" w:eastAsia="Calibri" w:hAnsi="Poppins" w:cs="Poppins"/>
          <w:sz w:val="20"/>
          <w:szCs w:val="20"/>
        </w:rPr>
      </w:pPr>
      <w:r w:rsidRPr="00AF58E7">
        <w:rPr>
          <w:rFonts w:ascii="Poppins" w:eastAsia="Calibri" w:hAnsi="Poppins" w:cs="Poppins"/>
          <w:sz w:val="20"/>
          <w:szCs w:val="20"/>
        </w:rPr>
        <w:t xml:space="preserve">Republicans hold a one-vote majority in the Finance Committee, meaning Senator Cassidy could prevent Kennedy from receiving a favorable recommendation ahead of the full floor vote. The Finance Committee has </w:t>
      </w:r>
      <w:hyperlink r:id="rId25" w:history="1">
        <w:r w:rsidRPr="00AF58E7">
          <w:rPr>
            <w:rStyle w:val="Hyperlink"/>
            <w:rFonts w:ascii="Poppins" w:eastAsia="Calibri" w:hAnsi="Poppins" w:cs="Poppins"/>
            <w:sz w:val="20"/>
            <w:szCs w:val="20"/>
          </w:rPr>
          <w:t>scheduled</w:t>
        </w:r>
      </w:hyperlink>
      <w:r w:rsidRPr="00AF58E7">
        <w:rPr>
          <w:rFonts w:ascii="Poppins" w:eastAsia="Calibri" w:hAnsi="Poppins" w:cs="Poppins"/>
          <w:sz w:val="20"/>
          <w:szCs w:val="20"/>
        </w:rPr>
        <w:t xml:space="preserve"> Kennedy’s vote for Tuesday, February 4</w:t>
      </w:r>
      <w:r w:rsidRPr="00AF58E7">
        <w:rPr>
          <w:rFonts w:ascii="Poppins" w:eastAsia="Calibri" w:hAnsi="Poppins" w:cs="Poppins"/>
          <w:sz w:val="20"/>
          <w:szCs w:val="20"/>
          <w:vertAlign w:val="superscript"/>
        </w:rPr>
        <w:t>th</w:t>
      </w:r>
      <w:r w:rsidRPr="00AF58E7">
        <w:rPr>
          <w:rFonts w:ascii="Poppins" w:eastAsia="Calibri" w:hAnsi="Poppins" w:cs="Poppins"/>
          <w:sz w:val="20"/>
          <w:szCs w:val="20"/>
        </w:rPr>
        <w:t xml:space="preserve">, at 10:00am EST. Senate Majority Leader John Thune has indicated it may be difficult to advance a nominee for consideration by the full Senate without the consent of the advising Committee. </w:t>
      </w:r>
    </w:p>
    <w:p w14:paraId="06000DBA" w14:textId="77777777" w:rsidR="00AF58E7" w:rsidRPr="00AF58E7" w:rsidRDefault="00AF58E7" w:rsidP="00AF58E7">
      <w:pPr>
        <w:tabs>
          <w:tab w:val="left" w:pos="5397"/>
        </w:tabs>
        <w:spacing w:after="0"/>
        <w:rPr>
          <w:rFonts w:ascii="Poppins" w:eastAsia="Calibri" w:hAnsi="Poppins" w:cs="Poppins"/>
          <w:sz w:val="20"/>
          <w:szCs w:val="20"/>
        </w:rPr>
      </w:pPr>
    </w:p>
    <w:p w14:paraId="6A84CEBF" w14:textId="77777777" w:rsidR="00AF58E7" w:rsidRPr="00AF58E7" w:rsidRDefault="00AF58E7" w:rsidP="00AF58E7">
      <w:pPr>
        <w:tabs>
          <w:tab w:val="left" w:pos="5397"/>
        </w:tabs>
        <w:spacing w:after="0"/>
        <w:rPr>
          <w:rFonts w:ascii="Poppins" w:eastAsia="Calibri" w:hAnsi="Poppins" w:cs="Poppins"/>
          <w:sz w:val="20"/>
          <w:szCs w:val="20"/>
        </w:rPr>
      </w:pPr>
      <w:r w:rsidRPr="00AF58E7">
        <w:rPr>
          <w:rFonts w:ascii="Poppins" w:eastAsia="Calibri" w:hAnsi="Poppins" w:cs="Poppins"/>
          <w:sz w:val="20"/>
          <w:szCs w:val="20"/>
        </w:rPr>
        <w:t xml:space="preserve">Over the weekend, President Trump </w:t>
      </w:r>
      <w:hyperlink r:id="rId26" w:history="1">
        <w:r w:rsidRPr="00AF58E7">
          <w:rPr>
            <w:rStyle w:val="Hyperlink"/>
            <w:rFonts w:ascii="Poppins" w:eastAsia="Calibri" w:hAnsi="Poppins" w:cs="Poppins"/>
            <w:sz w:val="20"/>
            <w:szCs w:val="20"/>
          </w:rPr>
          <w:t>announced</w:t>
        </w:r>
      </w:hyperlink>
      <w:r w:rsidRPr="00AF58E7">
        <w:rPr>
          <w:rFonts w:ascii="Poppins" w:eastAsia="Calibri" w:hAnsi="Poppins" w:cs="Poppins"/>
          <w:sz w:val="20"/>
          <w:szCs w:val="20"/>
        </w:rPr>
        <w:t xml:space="preserve"> that his administration will impose import tariffs on goods from Canada, China, and Mexico. On Saturday, the President stated his intent to implement a 25% tariff on imports from Canada (excluding energy products) and Mexico, as well as a 10% tariff on goods from China. These tariffs are scheduled to take effect at midnight on Tuesday. According to the administration, these measures will remain in place until the targeted countries take action to curb the flow of fentanyl and undocumented immigrants into the United States. The newly imposed tariffs could lead to increased costs for pharmaceutical ingredients and medical devices, as China and Mexico are the primary suppliers of these products to the U.S. However, the Trump administration has suggested that potential price increases could be mitigated if manufacturers relocate production to the United States to circumvent the tariffs.</w:t>
      </w:r>
    </w:p>
    <w:p w14:paraId="3E7D2CEE" w14:textId="77777777" w:rsidR="00AF58E7" w:rsidRPr="00AF58E7" w:rsidRDefault="00AF58E7" w:rsidP="00AF58E7">
      <w:pPr>
        <w:tabs>
          <w:tab w:val="left" w:pos="5397"/>
        </w:tabs>
        <w:spacing w:after="0"/>
        <w:rPr>
          <w:rFonts w:ascii="Poppins" w:eastAsia="Calibri" w:hAnsi="Poppins" w:cs="Poppins"/>
          <w:sz w:val="20"/>
          <w:szCs w:val="20"/>
        </w:rPr>
      </w:pPr>
    </w:p>
    <w:p w14:paraId="4A539936" w14:textId="77777777" w:rsidR="00AF58E7" w:rsidRPr="00AF58E7" w:rsidRDefault="00AF58E7" w:rsidP="00AF58E7">
      <w:pPr>
        <w:tabs>
          <w:tab w:val="left" w:pos="5397"/>
        </w:tabs>
        <w:spacing w:after="0"/>
        <w:rPr>
          <w:rFonts w:ascii="Poppins" w:eastAsia="Calibri" w:hAnsi="Poppins" w:cs="Poppins"/>
          <w:sz w:val="20"/>
          <w:szCs w:val="20"/>
        </w:rPr>
      </w:pPr>
      <w:r w:rsidRPr="00AF58E7">
        <w:rPr>
          <w:rFonts w:ascii="Poppins" w:eastAsia="Calibri" w:hAnsi="Poppins" w:cs="Poppins"/>
          <w:sz w:val="20"/>
          <w:szCs w:val="20"/>
        </w:rPr>
        <w:t xml:space="preserve">Over the weekend, President Trump </w:t>
      </w:r>
      <w:hyperlink r:id="rId27" w:history="1">
        <w:r w:rsidRPr="00AF58E7">
          <w:rPr>
            <w:rStyle w:val="Hyperlink"/>
            <w:rFonts w:ascii="Poppins" w:eastAsia="Calibri" w:hAnsi="Poppins" w:cs="Poppins"/>
            <w:sz w:val="20"/>
            <w:szCs w:val="20"/>
          </w:rPr>
          <w:t>announced</w:t>
        </w:r>
      </w:hyperlink>
      <w:r w:rsidRPr="00AF58E7">
        <w:rPr>
          <w:rFonts w:ascii="Poppins" w:eastAsia="Calibri" w:hAnsi="Poppins" w:cs="Poppins"/>
          <w:sz w:val="20"/>
          <w:szCs w:val="20"/>
        </w:rPr>
        <w:t xml:space="preserve"> that his administration will impose import tariffs on goods from Canada, China, and Mexico. On Saturday, the President stated his intent to implement a 25% tariff on imports from Canada (excluding energy products) and Mexico, as well as a 10% tariff on goods from China. These tariffs are scheduled to take effect at midnight on Tuesday. According to the administration, these measures will remain in place until the targeted countries take action to curb the flow of fentanyl and undocumented immigrants into the United States. The newly imposed tariffs could lead to increased costs for pharmaceutical ingredients and medical devices, as China and Mexico are the primary suppliers of these products to the U.S. However, the Trump administration has suggested that potential price increases could be mitigated if manufacturers relocate production to the United States to circumvent the tariffs.</w:t>
      </w:r>
    </w:p>
    <w:p w14:paraId="0931B5B8" w14:textId="371FCEA1" w:rsidR="00B334CC" w:rsidRDefault="00000000" w:rsidP="6C3F4EE8">
      <w:pPr>
        <w:spacing w:after="240"/>
        <w:rPr>
          <w:rFonts w:ascii="Poppins" w:eastAsia="Poppins" w:hAnsi="Poppins" w:cs="Poppins"/>
          <w:color w:val="2F5496" w:themeColor="accent1" w:themeShade="BF"/>
          <w:sz w:val="20"/>
          <w:szCs w:val="20"/>
        </w:rPr>
      </w:pPr>
      <w:r w:rsidRPr="00AF58E7">
        <w:rPr>
          <w:rFonts w:ascii="Poppins" w:hAnsi="Poppins" w:cs="Poppins"/>
          <w:sz w:val="20"/>
          <w:szCs w:val="20"/>
        </w:rPr>
        <w:lastRenderedPageBreak/>
        <w:br/>
      </w:r>
      <w:r w:rsidR="6C3F4EE8" w:rsidRPr="6C3F4EE8">
        <w:rPr>
          <w:rFonts w:ascii="Poppins SemiBold" w:hAnsi="Poppins SemiBold"/>
          <w:color w:val="2F5496" w:themeColor="accent1" w:themeShade="BF"/>
          <w:sz w:val="32"/>
          <w:szCs w:val="32"/>
        </w:rPr>
        <w:t>Upcoming Events</w:t>
      </w:r>
    </w:p>
    <w:p w14:paraId="14A84035" w14:textId="51F78812" w:rsidR="00AF58E7" w:rsidRDefault="00AF58E7" w:rsidP="798567B4">
      <w:pPr>
        <w:spacing w:after="240"/>
        <w:rPr>
          <w:rFonts w:ascii="Poppins" w:eastAsia="Poppins" w:hAnsi="Poppins" w:cs="Poppins"/>
          <w:sz w:val="20"/>
          <w:szCs w:val="20"/>
        </w:rPr>
      </w:pPr>
      <w:r w:rsidRPr="00AF58E7">
        <w:rPr>
          <w:rFonts w:ascii="Poppins" w:eastAsia="Poppins" w:hAnsi="Poppins" w:cs="Poppins"/>
          <w:sz w:val="20"/>
          <w:szCs w:val="20"/>
        </w:rPr>
        <w:t xml:space="preserve">On Monday, the Gerontological Society of America will host </w:t>
      </w:r>
      <w:hyperlink r:id="rId28" w:history="1">
        <w:r w:rsidRPr="00AF58E7">
          <w:rPr>
            <w:rStyle w:val="Hyperlink"/>
            <w:rFonts w:ascii="Poppins" w:eastAsia="Poppins" w:hAnsi="Poppins" w:cs="Poppins"/>
            <w:sz w:val="20"/>
            <w:szCs w:val="20"/>
          </w:rPr>
          <w:t>a discussion on "New Congress and Administration: Implications for Aging and Health Care Policy"</w:t>
        </w:r>
      </w:hyperlink>
      <w:r w:rsidRPr="00AF58E7">
        <w:rPr>
          <w:rFonts w:ascii="Poppins" w:eastAsia="Poppins" w:hAnsi="Poppins" w:cs="Poppins"/>
          <w:sz w:val="20"/>
          <w:szCs w:val="20"/>
        </w:rPr>
        <w:t xml:space="preserve"> at 3:00pm. </w:t>
      </w:r>
    </w:p>
    <w:p w14:paraId="2534EF91" w14:textId="4EE079AA" w:rsidR="00AF58E7" w:rsidRDefault="00AF58E7" w:rsidP="798567B4">
      <w:pPr>
        <w:spacing w:after="240"/>
        <w:rPr>
          <w:rFonts w:ascii="Poppins" w:eastAsia="Poppins" w:hAnsi="Poppins" w:cs="Poppins"/>
          <w:sz w:val="20"/>
          <w:szCs w:val="20"/>
        </w:rPr>
      </w:pPr>
      <w:r w:rsidRPr="00AF58E7">
        <w:rPr>
          <w:rFonts w:ascii="Poppins" w:eastAsia="Poppins" w:hAnsi="Poppins" w:cs="Poppins"/>
          <w:sz w:val="20"/>
          <w:szCs w:val="20"/>
        </w:rPr>
        <w:t xml:space="preserve">On Tuesday, the Senate Finance Committee will hold a hearing to </w:t>
      </w:r>
      <w:hyperlink r:id="rId29" w:history="1">
        <w:r w:rsidRPr="00AF58E7">
          <w:rPr>
            <w:rStyle w:val="Hyperlink"/>
            <w:rFonts w:ascii="Poppins" w:eastAsia="Poppins" w:hAnsi="Poppins" w:cs="Poppins"/>
            <w:sz w:val="20"/>
            <w:szCs w:val="20"/>
          </w:rPr>
          <w:t>Consider Favorably Reporting the Nomination of Robert F. Kennedy, Jr. of California, to be Secretary of Health and Human Services</w:t>
        </w:r>
      </w:hyperlink>
      <w:r w:rsidRPr="00AF58E7">
        <w:rPr>
          <w:rFonts w:ascii="Poppins" w:eastAsia="Poppins" w:hAnsi="Poppins" w:cs="Poppins"/>
          <w:sz w:val="20"/>
          <w:szCs w:val="20"/>
        </w:rPr>
        <w:t xml:space="preserve"> at 10:00am. </w:t>
      </w:r>
    </w:p>
    <w:p w14:paraId="04B1F7EE" w14:textId="691FCF90" w:rsidR="798567B4" w:rsidRDefault="0B9D0F47" w:rsidP="798567B4">
      <w:pPr>
        <w:spacing w:after="240"/>
        <w:rPr>
          <w:rFonts w:ascii="Poppins" w:eastAsia="Poppins" w:hAnsi="Poppins" w:cs="Poppins"/>
          <w:sz w:val="20"/>
          <w:szCs w:val="20"/>
        </w:rPr>
      </w:pPr>
      <w:r w:rsidRPr="0B9D0F47">
        <w:rPr>
          <w:rFonts w:ascii="Poppins" w:eastAsia="Poppins" w:hAnsi="Poppins" w:cs="Poppins"/>
          <w:sz w:val="20"/>
          <w:szCs w:val="20"/>
        </w:rPr>
        <w:t xml:space="preserve">On Thursday, the Energy and Commerce’s Health Subcommittee </w:t>
      </w:r>
      <w:r w:rsidR="00AF58E7">
        <w:rPr>
          <w:rFonts w:ascii="Poppins" w:eastAsia="Poppins" w:hAnsi="Poppins" w:cs="Poppins"/>
          <w:sz w:val="20"/>
          <w:szCs w:val="20"/>
        </w:rPr>
        <w:t xml:space="preserve">will hold </w:t>
      </w:r>
      <w:hyperlink r:id="rId30">
        <w:r w:rsidRPr="0B9D0F47">
          <w:rPr>
            <w:rStyle w:val="Hyperlink"/>
            <w:rFonts w:ascii="Poppins" w:eastAsia="Poppins" w:hAnsi="Poppins" w:cs="Poppins"/>
            <w:color w:val="2F5496" w:themeColor="accent1" w:themeShade="BF"/>
            <w:sz w:val="20"/>
            <w:szCs w:val="20"/>
          </w:rPr>
          <w:t>a hearing on "Combatting Existing and Emerging Illicit Drug Threats"</w:t>
        </w:r>
      </w:hyperlink>
      <w:r w:rsidRPr="0B9D0F47">
        <w:rPr>
          <w:rFonts w:ascii="Poppins" w:eastAsia="Poppins" w:hAnsi="Poppins" w:cs="Poppins"/>
          <w:color w:val="2F5496" w:themeColor="accent1" w:themeShade="BF"/>
          <w:sz w:val="20"/>
          <w:szCs w:val="20"/>
        </w:rPr>
        <w:t xml:space="preserve"> </w:t>
      </w:r>
      <w:r w:rsidRPr="0B9D0F47">
        <w:rPr>
          <w:rFonts w:ascii="Poppins" w:eastAsia="Poppins" w:hAnsi="Poppins" w:cs="Poppins"/>
          <w:sz w:val="20"/>
          <w:szCs w:val="20"/>
        </w:rPr>
        <w:t>starting at 10am.</w:t>
      </w:r>
    </w:p>
    <w:p w14:paraId="4CEBC3D1" w14:textId="40E9F42D" w:rsidR="798567B4" w:rsidRDefault="798567B4" w:rsidP="798567B4">
      <w:pPr>
        <w:spacing w:after="240"/>
        <w:rPr>
          <w:rFonts w:ascii="Poppins" w:eastAsia="Poppins" w:hAnsi="Poppins" w:cs="Poppins"/>
          <w:sz w:val="20"/>
          <w:szCs w:val="20"/>
        </w:rPr>
      </w:pPr>
    </w:p>
    <w:p w14:paraId="277C722F" w14:textId="02F87227" w:rsidR="798567B4" w:rsidRDefault="798567B4" w:rsidP="798567B4">
      <w:pPr>
        <w:spacing w:after="240"/>
        <w:rPr>
          <w:rFonts w:ascii="Poppins SemiBold" w:hAnsi="Poppins SemiBold"/>
          <w:sz w:val="32"/>
          <w:szCs w:val="32"/>
        </w:rPr>
      </w:pPr>
    </w:p>
    <w:sectPr w:rsidR="798567B4">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476D" w14:textId="77777777" w:rsidR="00094BB8" w:rsidRDefault="00094BB8" w:rsidP="00715EA6">
      <w:pPr>
        <w:spacing w:after="0" w:line="240" w:lineRule="auto"/>
      </w:pPr>
      <w:r>
        <w:separator/>
      </w:r>
    </w:p>
  </w:endnote>
  <w:endnote w:type="continuationSeparator" w:id="0">
    <w:p w14:paraId="56FE2F64" w14:textId="77777777" w:rsidR="00094BB8" w:rsidRDefault="00094BB8"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F1B78B3">
            <v:rect id="Rectangle 2"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1939F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v:fill opacity="39321f"/>
              <v:textbox>
                <w:txbxContent>
                  <w:p w:rsidRPr="00715EA6" w:rsidR="00715EA6" w:rsidP="00715EA6" w:rsidRDefault="00715EA6" w14:paraId="2626F8AC" w14:textId="77777777">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374A" w14:textId="77777777" w:rsidR="00094BB8" w:rsidRDefault="00094BB8" w:rsidP="00715EA6">
      <w:pPr>
        <w:spacing w:after="0" w:line="240" w:lineRule="auto"/>
      </w:pPr>
      <w:r>
        <w:separator/>
      </w:r>
    </w:p>
  </w:footnote>
  <w:footnote w:type="continuationSeparator" w:id="0">
    <w:p w14:paraId="4097A13B" w14:textId="77777777" w:rsidR="00094BB8" w:rsidRDefault="00094BB8" w:rsidP="00715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3F4EE8" w14:paraId="0D6ACD53" w14:textId="77777777" w:rsidTr="6C3F4EE8">
      <w:trPr>
        <w:trHeight w:val="300"/>
      </w:trPr>
      <w:tc>
        <w:tcPr>
          <w:tcW w:w="3120" w:type="dxa"/>
        </w:tcPr>
        <w:p w14:paraId="0E3DE529" w14:textId="6DABE7DE" w:rsidR="6C3F4EE8" w:rsidRDefault="6C3F4EE8" w:rsidP="6C3F4EE8">
          <w:pPr>
            <w:pStyle w:val="Header"/>
            <w:ind w:left="-115"/>
          </w:pPr>
        </w:p>
      </w:tc>
      <w:tc>
        <w:tcPr>
          <w:tcW w:w="3120" w:type="dxa"/>
        </w:tcPr>
        <w:p w14:paraId="50E4DBC3" w14:textId="2326535F" w:rsidR="6C3F4EE8" w:rsidRDefault="6C3F4EE8" w:rsidP="6C3F4EE8">
          <w:pPr>
            <w:pStyle w:val="Header"/>
            <w:jc w:val="center"/>
          </w:pPr>
        </w:p>
      </w:tc>
      <w:tc>
        <w:tcPr>
          <w:tcW w:w="3120" w:type="dxa"/>
        </w:tcPr>
        <w:p w14:paraId="4F356E25" w14:textId="435CCFE6" w:rsidR="6C3F4EE8" w:rsidRDefault="6C3F4EE8" w:rsidP="6C3F4EE8">
          <w:pPr>
            <w:pStyle w:val="Header"/>
            <w:ind w:right="-115"/>
            <w:jc w:val="right"/>
          </w:pPr>
        </w:p>
      </w:tc>
    </w:tr>
  </w:tbl>
  <w:p w14:paraId="5C604EBC" w14:textId="737DECDC" w:rsidR="6C3F4EE8" w:rsidRDefault="6C3F4EE8" w:rsidP="6C3F4E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94BB8"/>
    <w:rsid w:val="00140A74"/>
    <w:rsid w:val="001E04BB"/>
    <w:rsid w:val="00236A3B"/>
    <w:rsid w:val="0032278B"/>
    <w:rsid w:val="003F73F6"/>
    <w:rsid w:val="004F23F4"/>
    <w:rsid w:val="0053438E"/>
    <w:rsid w:val="006071D3"/>
    <w:rsid w:val="00715EA6"/>
    <w:rsid w:val="00A7138F"/>
    <w:rsid w:val="00A76DD2"/>
    <w:rsid w:val="00AF58E7"/>
    <w:rsid w:val="00B334CC"/>
    <w:rsid w:val="00B92207"/>
    <w:rsid w:val="00C75B9D"/>
    <w:rsid w:val="00CF006A"/>
    <w:rsid w:val="00E30E4D"/>
    <w:rsid w:val="00F20F68"/>
    <w:rsid w:val="0B9D0F47"/>
    <w:rsid w:val="2565C836"/>
    <w:rsid w:val="387BB828"/>
    <w:rsid w:val="3DD66EBC"/>
    <w:rsid w:val="601A6D1B"/>
    <w:rsid w:val="66904298"/>
    <w:rsid w:val="6C3F4EE8"/>
    <w:rsid w:val="7985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3823">
      <w:bodyDiv w:val="1"/>
      <w:marLeft w:val="0"/>
      <w:marRight w:val="0"/>
      <w:marTop w:val="0"/>
      <w:marBottom w:val="0"/>
      <w:divBdr>
        <w:top w:val="none" w:sz="0" w:space="0" w:color="auto"/>
        <w:left w:val="none" w:sz="0" w:space="0" w:color="auto"/>
        <w:bottom w:val="none" w:sz="0" w:space="0" w:color="auto"/>
        <w:right w:val="none" w:sz="0" w:space="0" w:color="auto"/>
      </w:divBdr>
    </w:div>
    <w:div w:id="1189413935">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27484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4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a.gov/patients/fast-track-breakthrough-therapy-accelerated-approval-priority-review/priority-review" TargetMode="External"/><Relationship Id="rId18" Type="http://schemas.openxmlformats.org/officeDocument/2006/relationships/hyperlink" Target="https://www.kff.org/private-insurance/issue-brief/claims-denials-and-appeals-in-aca-marketplace-plans-in-2023/" TargetMode="External"/><Relationship Id="rId26" Type="http://schemas.openxmlformats.org/officeDocument/2006/relationships/hyperlink" Target="https://thehill.com/newsletters/morning-report/5122481-morning-report-trumps-tariffs-risk-us-economic-hit/" TargetMode="External"/><Relationship Id="rId3" Type="http://schemas.openxmlformats.org/officeDocument/2006/relationships/webSettings" Target="webSettings.xml"/><Relationship Id="rId21" Type="http://schemas.openxmlformats.org/officeDocument/2006/relationships/hyperlink" Target="https://apnews.com/article/cdc-who-trump-548cf18b1c409c7d22e17311ccdfe1f6" TargetMode="External"/><Relationship Id="rId34" Type="http://schemas.openxmlformats.org/officeDocument/2006/relationships/theme" Target="theme/theme1.xml"/><Relationship Id="rId7" Type="http://schemas.openxmlformats.org/officeDocument/2006/relationships/hyperlink" Target="https://kffhealthnews.org/news/article/montana-behavioral-health-developmental-disability-capital-project-spending/" TargetMode="External"/><Relationship Id="rId12" Type="http://schemas.openxmlformats.org/officeDocument/2006/relationships/hyperlink" Target="https://www.fda.gov/patients/fast-track-breakthrough-therapy-accelerated-approval-priority-review/fast-track" TargetMode="External"/><Relationship Id="rId17" Type="http://schemas.openxmlformats.org/officeDocument/2006/relationships/hyperlink" Target="https://www.kff.org/affordable-care-act/press-release/healthcare-gov-insurers-denied-nearly-1-in-5-in-network-claims-in-2023-but-information-about-reasons-is-limited-in-public-data/" TargetMode="External"/><Relationship Id="rId25" Type="http://schemas.openxmlformats.org/officeDocument/2006/relationships/hyperlink" Target="https://www.finance.senate.gov/hearings/open-executive-session-to-consider-favorably-reporting-the-nomination-of-robert-f-kennedy-jr-of-california-to-be-secretary-of-health-and-human-services"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kff.org/health-information-and-trust/poll-finding/kff-tracking-poll-on-health-information-and-trust-january-2025/" TargetMode="External"/><Relationship Id="rId20" Type="http://schemas.openxmlformats.org/officeDocument/2006/relationships/hyperlink" Target="https://www.cdc.gov/about/leadership/gh.html" TargetMode="External"/><Relationship Id="rId29" Type="http://schemas.openxmlformats.org/officeDocument/2006/relationships/hyperlink" Target="https://www.finance.senate.gov/hearings/open-executive-session-to-consider-favorably-reporting-the-nomination-of-robert-f-kennedy-jr-of-california-to-be-secretary-of-health-and-human-service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fda.gov/patients/fast-track-breakthrough-therapy-accelerated-approval-priority-review/breakthrough-therapy" TargetMode="External"/><Relationship Id="rId24" Type="http://schemas.openxmlformats.org/officeDocument/2006/relationships/hyperlink" Target="https://www.politico.com/news/2025/02/02/finance-committee-vote-rfk-jr-00201969"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whitehouse.gov/presidential-actions/2025/01/initial-rescissions-of-harmful-executive-orders-and-actions/" TargetMode="External"/><Relationship Id="rId23" Type="http://schemas.openxmlformats.org/officeDocument/2006/relationships/hyperlink" Target="https://www.cdc.gov/bird-flu/situation-summary/index.html" TargetMode="External"/><Relationship Id="rId28" Type="http://schemas.openxmlformats.org/officeDocument/2006/relationships/hyperlink" Target="https://www.geron.org/News-Events/Event-Info/sessionaltcd/2025-02-03_CONGRESS" TargetMode="External"/><Relationship Id="rId10" Type="http://schemas.openxmlformats.org/officeDocument/2006/relationships/hyperlink" Target="https://www.fda.gov/regulatory-information/search-fda-guidance-documents/development-non-opioid-analgesics-acute-pain-draft-guidance-industry" TargetMode="External"/><Relationship Id="rId19" Type="http://schemas.openxmlformats.org/officeDocument/2006/relationships/hyperlink" Target="https://apnews.com/article/donald-trump-pause-federal-grants-aid-6d41961940585544fa43a3f66550e7be"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da.gov/news-events/press-announcements/fda-approves-novel-non-opioid-treatment-moderate-severe-acute-pain" TargetMode="External"/><Relationship Id="rId14" Type="http://schemas.openxmlformats.org/officeDocument/2006/relationships/hyperlink" Target="https://shontelbrown.house.gov/sites/evo-subsites/shontelbrown.house.gov/files/evo-media-document/Letter%20to%20HHS_CMS%20on%20Biden%20EO%20Rescission.pdf" TargetMode="External"/><Relationship Id="rId22" Type="http://schemas.openxmlformats.org/officeDocument/2006/relationships/hyperlink" Target="https://www.whitehouse.gov/presidential-actions/2025/01/withdrawing-the-united-states-from-the-worldhealth-organization/" TargetMode="External"/><Relationship Id="rId27" Type="http://schemas.openxmlformats.org/officeDocument/2006/relationships/hyperlink" Target="https://thehill.com/newsletters/morning-report/5122481-morning-report-trumps-tariffs-risk-us-economic-hit/" TargetMode="External"/><Relationship Id="rId30" Type="http://schemas.openxmlformats.org/officeDocument/2006/relationships/hyperlink" Target="https://energycommerce.house.gov/events/chairmen-guthrie-and-carter-announce-health-subcommittee-hearing-on-illicit-drug-threats" TargetMode="External"/><Relationship Id="rId8" Type="http://schemas.openxmlformats.org/officeDocument/2006/relationships/hyperlink" Target="https://www.house.mn.gov/sessiondaily/Story/18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2650</Words>
  <Characters>15105</Characters>
  <Application>Microsoft Office Word</Application>
  <DocSecurity>0</DocSecurity>
  <Lines>125</Lines>
  <Paragraphs>35</Paragraphs>
  <ScaleCrop>false</ScaleCrop>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2025-02-03T17:52:00Z</dcterms:created>
  <dcterms:modified xsi:type="dcterms:W3CDTF">2025-02-03T17:52:00Z</dcterms:modified>
</cp:coreProperties>
</file>