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3FAA5" w14:textId="11C0BF85" w:rsidR="00715EA6" w:rsidRPr="006C4838" w:rsidRDefault="00715EA6" w:rsidP="00A01AF7">
      <w:pPr>
        <w:pStyle w:val="Heading1"/>
        <w:spacing w:before="200" w:after="0"/>
        <w:rPr>
          <w:rFonts w:ascii="Poppins SemiBold" w:hAnsi="Poppins SemiBold" w:cs="Poppins SemiBold"/>
          <w:b/>
          <w:bCs/>
          <w:noProof/>
          <w:color w:val="4472C4" w:themeColor="accent1"/>
          <w:sz w:val="32"/>
          <w:szCs w:val="32"/>
        </w:rPr>
      </w:pPr>
      <w:r w:rsidRPr="006C4838">
        <w:rPr>
          <w:rFonts w:ascii="Poppins SemiBold" w:hAnsi="Poppins SemiBold" w:cs="Poppins SemiBold"/>
          <w:b/>
          <w:bCs/>
          <w:noProof/>
          <w:color w:val="4472C4" w:themeColor="accent1"/>
          <w:sz w:val="32"/>
          <w:szCs w:val="32"/>
        </w:rPr>
        <w:drawing>
          <wp:anchor distT="0" distB="0" distL="114300" distR="114300" simplePos="0" relativeHeight="251658240" behindDoc="0" locked="0" layoutInCell="1" allowOverlap="1" wp14:anchorId="6388BE28" wp14:editId="0FF3E604">
            <wp:simplePos x="0" y="0"/>
            <wp:positionH relativeFrom="margin">
              <wp:posOffset>-958850</wp:posOffset>
            </wp:positionH>
            <wp:positionV relativeFrom="margin">
              <wp:posOffset>-899795</wp:posOffset>
            </wp:positionV>
            <wp:extent cx="7853680" cy="2769870"/>
            <wp:effectExtent l="0" t="0" r="0" b="5715"/>
            <wp:wrapSquare wrapText="bothSides"/>
            <wp:docPr id="998037536" name="Picture 4" descr="A white building with a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37536" name="Picture 4" descr="A white building with a dome&#10;&#10;Description automatically generated"/>
                    <pic:cNvPicPr/>
                  </pic:nvPicPr>
                  <pic:blipFill>
                    <a:blip r:embed="rId7" cstate="print">
                      <a:extLst>
                        <a:ext uri="{28A0092B-C50C-407E-A947-70E740481C1C}">
                          <a14:useLocalDpi xmlns:a14="http://schemas.microsoft.com/office/drawing/2010/main" val="0"/>
                        </a:ext>
                      </a:extLst>
                    </a:blip>
                    <a:srcRect t="2975" b="2975"/>
                    <a:stretch>
                      <a:fillRect/>
                    </a:stretch>
                  </pic:blipFill>
                  <pic:spPr bwMode="auto">
                    <a:xfrm>
                      <a:off x="0" y="0"/>
                      <a:ext cx="7853680" cy="27698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7A61C5">
        <w:rPr>
          <w:rFonts w:ascii="Poppins SemiBold" w:hAnsi="Poppins SemiBold" w:cs="Poppins SemiBold"/>
          <w:b/>
          <w:bCs/>
          <w:noProof/>
          <w:color w:val="4472C4" w:themeColor="accent1"/>
          <w:sz w:val="32"/>
          <w:szCs w:val="32"/>
        </w:rPr>
        <w:t xml:space="preserve">August </w:t>
      </w:r>
      <w:r w:rsidR="00A70507">
        <w:rPr>
          <w:rFonts w:ascii="Poppins SemiBold" w:hAnsi="Poppins SemiBold" w:cs="Poppins SemiBold"/>
          <w:b/>
          <w:bCs/>
          <w:noProof/>
          <w:color w:val="4472C4" w:themeColor="accent1"/>
          <w:sz w:val="32"/>
          <w:szCs w:val="32"/>
        </w:rPr>
        <w:t>4</w:t>
      </w:r>
      <w:r w:rsidR="00DE3D45">
        <w:rPr>
          <w:rFonts w:ascii="Poppins SemiBold" w:hAnsi="Poppins SemiBold" w:cs="Poppins SemiBold"/>
          <w:b/>
          <w:bCs/>
          <w:noProof/>
          <w:color w:val="4472C4" w:themeColor="accent1"/>
          <w:sz w:val="32"/>
          <w:szCs w:val="32"/>
        </w:rPr>
        <w:t>, 2025</w:t>
      </w:r>
    </w:p>
    <w:p w14:paraId="50D539FE" w14:textId="77777777" w:rsidR="00B232EA" w:rsidRPr="00B232EA" w:rsidRDefault="00B232EA" w:rsidP="00A01AF7">
      <w:pPr>
        <w:spacing w:before="200" w:after="0"/>
        <w:rPr>
          <w:rFonts w:ascii="Poppins SemiBold" w:hAnsi="Poppins SemiBold" w:cs="Poppins SemiBold"/>
          <w:b/>
          <w:bCs/>
          <w:color w:val="4472C4" w:themeColor="accent1"/>
          <w:sz w:val="24"/>
          <w:szCs w:val="24"/>
        </w:rPr>
      </w:pPr>
      <w:r w:rsidRPr="00B232EA">
        <w:rPr>
          <w:rFonts w:ascii="Poppins SemiBold" w:hAnsi="Poppins SemiBold" w:cs="Poppins SemiBold"/>
          <w:b/>
          <w:bCs/>
          <w:color w:val="4472C4" w:themeColor="accent1"/>
          <w:sz w:val="24"/>
          <w:szCs w:val="24"/>
        </w:rPr>
        <w:t>Experts Warn OBBBA Medicaid Cuts Harm Family Caregivers</w:t>
      </w:r>
    </w:p>
    <w:p w14:paraId="1F1EB3A5" w14:textId="64A5DBB6" w:rsidR="00B232EA" w:rsidRPr="00B232EA" w:rsidRDefault="00B232EA" w:rsidP="00A01AF7">
      <w:pPr>
        <w:spacing w:before="200" w:after="0"/>
        <w:rPr>
          <w:rFonts w:ascii="Poppins" w:hAnsi="Poppins" w:cs="Poppins"/>
          <w:sz w:val="20"/>
          <w:szCs w:val="20"/>
        </w:rPr>
      </w:pPr>
      <w:r w:rsidRPr="00B232EA">
        <w:rPr>
          <w:rFonts w:ascii="Poppins" w:hAnsi="Poppins" w:cs="Poppins"/>
          <w:sz w:val="20"/>
          <w:szCs w:val="20"/>
        </w:rPr>
        <w:t>Experts </w:t>
      </w:r>
      <w:hyperlink r:id="rId8" w:history="1">
        <w:r w:rsidRPr="00B232EA">
          <w:rPr>
            <w:rStyle w:val="Hyperlink"/>
            <w:rFonts w:ascii="Poppins" w:hAnsi="Poppins" w:cs="Poppins"/>
            <w:sz w:val="20"/>
            <w:szCs w:val="20"/>
          </w:rPr>
          <w:t>warn </w:t>
        </w:r>
      </w:hyperlink>
      <w:r w:rsidRPr="00B232EA">
        <w:rPr>
          <w:rFonts w:ascii="Poppins" w:hAnsi="Poppins" w:cs="Poppins"/>
          <w:sz w:val="20"/>
          <w:szCs w:val="20"/>
        </w:rPr>
        <w:t xml:space="preserve">that the Medicaid cuts under the </w:t>
      </w:r>
      <w:r w:rsidRPr="00B232EA">
        <w:rPr>
          <w:rFonts w:ascii="Poppins" w:hAnsi="Poppins" w:cs="Poppins"/>
          <w:i/>
          <w:iCs/>
          <w:sz w:val="20"/>
          <w:szCs w:val="20"/>
        </w:rPr>
        <w:t>One Big Beautiful Bill Act</w:t>
      </w:r>
      <w:r w:rsidRPr="00B232EA">
        <w:rPr>
          <w:rFonts w:ascii="Poppins" w:hAnsi="Poppins" w:cs="Poppins"/>
          <w:sz w:val="20"/>
          <w:szCs w:val="20"/>
        </w:rPr>
        <w:t xml:space="preserve"> (OBBBA) will harm family caregivers by reducing access to health care for themselves and those they care for while creating additional caregiving burden. The National Alliance of Caregiving estimated that 13 percent of the 8 million family caregivers (over 1 million individuals) in the United States receive health insurance coverage through Medicaid and are at risk of becoming uninsured under OBBBA. Advocates warn that family caregivers are frequently unable to work outside the home because of the high levels of care their family members need, making it extremely difficult for family caregivers to meet new Medicaid work requirements. While OBBBA provides some exceptions to work requirements for parents with dependents, those who are “medically frail,” and pregnant or postpartum individuals, family caregivers remain at risk. Even if family caregivers can find work outside of the home, many worry about the reliability and cost of external caregiving services. </w:t>
      </w:r>
    </w:p>
    <w:p w14:paraId="51DB7154" w14:textId="30C213BE" w:rsidR="00B232EA" w:rsidRPr="00B232EA" w:rsidRDefault="00B232EA" w:rsidP="00A01AF7">
      <w:pPr>
        <w:spacing w:before="200" w:after="0"/>
        <w:rPr>
          <w:rFonts w:ascii="Poppins" w:hAnsi="Poppins" w:cs="Poppins"/>
          <w:sz w:val="20"/>
          <w:szCs w:val="20"/>
        </w:rPr>
      </w:pPr>
      <w:r w:rsidRPr="00B232EA">
        <w:rPr>
          <w:rFonts w:ascii="Poppins" w:hAnsi="Poppins" w:cs="Poppins"/>
          <w:sz w:val="20"/>
          <w:szCs w:val="20"/>
        </w:rPr>
        <w:t>Further, 11 million family caregivers receive compensation for their responsibilities, most of which are paid through Medicaid home- and community-based services and other state-level consumer-directed programs. As state Medicaid budgets face more strain, these programs are likely to be the first optional programs to be cut. Family caregivers forewarn that if caregiving funding is clawed back, families would have to return to the financially fraught situation of unpaid caregiving.</w:t>
      </w:r>
    </w:p>
    <w:p w14:paraId="52D742FF" w14:textId="6B3E58A4" w:rsidR="006725FE" w:rsidRPr="006725FE" w:rsidRDefault="006725FE" w:rsidP="00A01AF7">
      <w:pPr>
        <w:spacing w:before="200" w:after="0"/>
        <w:rPr>
          <w:rFonts w:ascii="Poppins SemiBold" w:hAnsi="Poppins SemiBold" w:cs="Poppins SemiBold"/>
          <w:b/>
          <w:bCs/>
          <w:color w:val="4472C4" w:themeColor="accent1"/>
          <w:sz w:val="24"/>
          <w:szCs w:val="24"/>
        </w:rPr>
      </w:pPr>
      <w:r w:rsidRPr="006725FE">
        <w:rPr>
          <w:rFonts w:ascii="Poppins SemiBold" w:hAnsi="Poppins SemiBold" w:cs="Poppins SemiBold"/>
          <w:b/>
          <w:bCs/>
          <w:color w:val="4472C4" w:themeColor="accent1"/>
          <w:sz w:val="24"/>
          <w:szCs w:val="24"/>
        </w:rPr>
        <w:t>Trump Administration Releases Executive Order Focused on Increased Use of Civil Commitment for Homeless Individuals</w:t>
      </w:r>
    </w:p>
    <w:p w14:paraId="27321617" w14:textId="7CEED658" w:rsidR="006725FE" w:rsidRPr="006725FE" w:rsidRDefault="006725FE" w:rsidP="00A01AF7">
      <w:pPr>
        <w:spacing w:before="200" w:after="0"/>
        <w:rPr>
          <w:rFonts w:ascii="Poppins" w:hAnsi="Poppins" w:cs="Poppins"/>
          <w:sz w:val="20"/>
          <w:szCs w:val="20"/>
        </w:rPr>
      </w:pPr>
      <w:r w:rsidRPr="006725FE">
        <w:rPr>
          <w:rFonts w:ascii="Poppins" w:hAnsi="Poppins" w:cs="Poppins"/>
          <w:sz w:val="20"/>
          <w:szCs w:val="20"/>
        </w:rPr>
        <w:t xml:space="preserve">President Trump signed an Executive Order (EO) titled </w:t>
      </w:r>
      <w:hyperlink r:id="rId9" w:history="1">
        <w:r w:rsidRPr="006725FE">
          <w:rPr>
            <w:rStyle w:val="Hyperlink"/>
            <w:rFonts w:ascii="Poppins" w:hAnsi="Poppins" w:cs="Poppins"/>
            <w:sz w:val="20"/>
            <w:szCs w:val="20"/>
          </w:rPr>
          <w:t>Ending Crime and Disorder on America’s Streets</w:t>
        </w:r>
      </w:hyperlink>
      <w:r w:rsidRPr="006725FE">
        <w:rPr>
          <w:rFonts w:ascii="Poppins" w:hAnsi="Poppins" w:cs="Poppins"/>
          <w:sz w:val="20"/>
          <w:szCs w:val="20"/>
        </w:rPr>
        <w:t xml:space="preserve"> that seeks to address homelessness rates by using civil commitment or institutional treatment for individuals with mental health challenges and substance use disorder (SUD). The EO claims most unhoused individuals have mental health disorders or </w:t>
      </w:r>
      <w:r w:rsidRPr="006725FE">
        <w:rPr>
          <w:rFonts w:ascii="Poppins" w:hAnsi="Poppins" w:cs="Poppins"/>
          <w:sz w:val="20"/>
          <w:szCs w:val="20"/>
        </w:rPr>
        <w:lastRenderedPageBreak/>
        <w:t xml:space="preserve">SUD and are </w:t>
      </w:r>
      <w:r w:rsidR="005C22C8">
        <w:rPr>
          <w:rFonts w:ascii="Poppins" w:hAnsi="Poppins" w:cs="Poppins"/>
          <w:sz w:val="20"/>
          <w:szCs w:val="20"/>
        </w:rPr>
        <w:t>involved</w:t>
      </w:r>
      <w:r w:rsidRPr="006725FE">
        <w:rPr>
          <w:rFonts w:ascii="Poppins" w:hAnsi="Poppins" w:cs="Poppins"/>
          <w:sz w:val="20"/>
          <w:szCs w:val="20"/>
        </w:rPr>
        <w:t xml:space="preserve"> with crime and disorderly conduct. The EO further asserts that removing unhoused individuals from their locations to mental health or SUD treatment facilities using civil commitment, which can include involuntary commitment to treatment, will “restore public orde</w:t>
      </w:r>
      <w:r w:rsidR="00CA040E">
        <w:rPr>
          <w:rFonts w:ascii="Poppins" w:hAnsi="Poppins" w:cs="Poppins"/>
          <w:sz w:val="20"/>
          <w:szCs w:val="20"/>
        </w:rPr>
        <w:t>r</w:t>
      </w:r>
      <w:r w:rsidRPr="006725FE">
        <w:rPr>
          <w:rFonts w:ascii="Poppins" w:hAnsi="Poppins" w:cs="Poppins"/>
          <w:sz w:val="20"/>
          <w:szCs w:val="20"/>
        </w:rPr>
        <w:t>”</w:t>
      </w:r>
      <w:r w:rsidR="00CA040E">
        <w:rPr>
          <w:rFonts w:ascii="Poppins" w:hAnsi="Poppins" w:cs="Poppins"/>
          <w:sz w:val="20"/>
          <w:szCs w:val="20"/>
        </w:rPr>
        <w:t>.</w:t>
      </w:r>
      <w:r w:rsidRPr="006725FE">
        <w:rPr>
          <w:rFonts w:ascii="Poppins" w:hAnsi="Poppins" w:cs="Poppins"/>
          <w:sz w:val="20"/>
          <w:szCs w:val="20"/>
        </w:rPr>
        <w:t>  </w:t>
      </w:r>
    </w:p>
    <w:p w14:paraId="478647F2" w14:textId="3FC4C6CC" w:rsidR="006725FE" w:rsidRPr="006725FE" w:rsidRDefault="006725FE" w:rsidP="00A01AF7">
      <w:pPr>
        <w:spacing w:before="200" w:after="0"/>
        <w:rPr>
          <w:rFonts w:ascii="Poppins" w:hAnsi="Poppins" w:cs="Poppins"/>
          <w:sz w:val="20"/>
          <w:szCs w:val="20"/>
        </w:rPr>
      </w:pPr>
      <w:r w:rsidRPr="006725FE">
        <w:rPr>
          <w:rFonts w:ascii="Poppins" w:hAnsi="Poppins" w:cs="Poppins"/>
          <w:sz w:val="20"/>
          <w:szCs w:val="20"/>
        </w:rPr>
        <w:t xml:space="preserve">The EO specifically </w:t>
      </w:r>
      <w:r w:rsidR="000B1C5B">
        <w:rPr>
          <w:rFonts w:ascii="Poppins" w:hAnsi="Poppins" w:cs="Poppins"/>
          <w:sz w:val="20"/>
          <w:szCs w:val="20"/>
        </w:rPr>
        <w:t>targets</w:t>
      </w:r>
      <w:r w:rsidRPr="006725FE">
        <w:rPr>
          <w:rFonts w:ascii="Poppins" w:hAnsi="Poppins" w:cs="Poppins"/>
          <w:sz w:val="20"/>
          <w:szCs w:val="20"/>
        </w:rPr>
        <w:t xml:space="preserve"> grant funding from the Substance Use and Mental Health Services Administration (SAMHSA) that allow grantees to use federal funds </w:t>
      </w:r>
      <w:r w:rsidR="000B1C5B">
        <w:rPr>
          <w:rFonts w:ascii="Poppins" w:hAnsi="Poppins" w:cs="Poppins"/>
          <w:sz w:val="20"/>
          <w:szCs w:val="20"/>
        </w:rPr>
        <w:t>for</w:t>
      </w:r>
      <w:r w:rsidRPr="006725FE">
        <w:rPr>
          <w:rFonts w:ascii="Poppins" w:hAnsi="Poppins" w:cs="Poppins"/>
          <w:sz w:val="20"/>
          <w:szCs w:val="20"/>
        </w:rPr>
        <w:t xml:space="preserve"> harm reduction and safe consumption – two evidence-based practices used to prevent overdose deaths and the spread of preventable diseases like HIV and Hepatitis C. Furthermore, these services often provide </w:t>
      </w:r>
      <w:r w:rsidR="000B1C5B">
        <w:rPr>
          <w:rFonts w:ascii="Poppins" w:hAnsi="Poppins" w:cs="Poppins"/>
          <w:sz w:val="20"/>
          <w:szCs w:val="20"/>
        </w:rPr>
        <w:t xml:space="preserve">community members with </w:t>
      </w:r>
      <w:r w:rsidRPr="006725FE">
        <w:rPr>
          <w:rFonts w:ascii="Poppins" w:hAnsi="Poppins" w:cs="Poppins"/>
          <w:sz w:val="20"/>
          <w:szCs w:val="20"/>
        </w:rPr>
        <w:t xml:space="preserve">a touchpoint </w:t>
      </w:r>
      <w:r w:rsidR="000B1C5B">
        <w:rPr>
          <w:rFonts w:ascii="Poppins" w:hAnsi="Poppins" w:cs="Poppins"/>
          <w:sz w:val="20"/>
          <w:szCs w:val="20"/>
        </w:rPr>
        <w:t>to</w:t>
      </w:r>
      <w:r w:rsidRPr="006725FE">
        <w:rPr>
          <w:rFonts w:ascii="Poppins" w:hAnsi="Poppins" w:cs="Poppins"/>
          <w:sz w:val="20"/>
          <w:szCs w:val="20"/>
        </w:rPr>
        <w:t xml:space="preserve"> the medical and social support system</w:t>
      </w:r>
      <w:r w:rsidR="00726BFB">
        <w:rPr>
          <w:rFonts w:ascii="Poppins" w:hAnsi="Poppins" w:cs="Poppins"/>
          <w:sz w:val="20"/>
          <w:szCs w:val="20"/>
        </w:rPr>
        <w:t>, offering an opportunity to initiate treatment if desired</w:t>
      </w:r>
      <w:r w:rsidRPr="006725FE">
        <w:rPr>
          <w:rFonts w:ascii="Poppins" w:hAnsi="Poppins" w:cs="Poppins"/>
          <w:sz w:val="20"/>
          <w:szCs w:val="20"/>
        </w:rPr>
        <w:t>. The EO directs federal spending towards outpatient treatment centers in the civil commitment process</w:t>
      </w:r>
      <w:r w:rsidR="00700615">
        <w:rPr>
          <w:rFonts w:ascii="Poppins" w:hAnsi="Poppins" w:cs="Poppins"/>
          <w:sz w:val="20"/>
          <w:szCs w:val="20"/>
        </w:rPr>
        <w:t xml:space="preserve">, </w:t>
      </w:r>
      <w:r w:rsidRPr="006725FE">
        <w:rPr>
          <w:rFonts w:ascii="Poppins" w:hAnsi="Poppins" w:cs="Poppins"/>
          <w:sz w:val="20"/>
          <w:szCs w:val="20"/>
        </w:rPr>
        <w:t>Federally Qualified Health Centers (FQHCs) and Certified Community Behavioral Health Clinics (CCBHCs) that provide treatment for SUD, serious mental illness and crisis services</w:t>
      </w:r>
      <w:r w:rsidR="00700615">
        <w:rPr>
          <w:rFonts w:ascii="Poppins" w:hAnsi="Poppins" w:cs="Poppins"/>
          <w:sz w:val="20"/>
          <w:szCs w:val="20"/>
        </w:rPr>
        <w:t>,</w:t>
      </w:r>
      <w:r w:rsidRPr="006725FE">
        <w:rPr>
          <w:rFonts w:ascii="Poppins" w:hAnsi="Poppins" w:cs="Poppins"/>
          <w:sz w:val="20"/>
          <w:szCs w:val="20"/>
        </w:rPr>
        <w:t xml:space="preserve"> and drug courts.</w:t>
      </w:r>
    </w:p>
    <w:p w14:paraId="39D02AEF" w14:textId="36CA317B" w:rsidR="006725FE" w:rsidRPr="006725FE" w:rsidRDefault="006725FE" w:rsidP="00A01AF7">
      <w:pPr>
        <w:spacing w:before="200" w:after="0"/>
        <w:rPr>
          <w:rFonts w:ascii="Poppins" w:hAnsi="Poppins" w:cs="Poppins"/>
          <w:sz w:val="20"/>
          <w:szCs w:val="20"/>
        </w:rPr>
      </w:pPr>
      <w:r w:rsidRPr="006725FE">
        <w:rPr>
          <w:rFonts w:ascii="Poppins" w:hAnsi="Poppins" w:cs="Poppins"/>
          <w:sz w:val="20"/>
          <w:szCs w:val="20"/>
        </w:rPr>
        <w:t>In a significant shift for patient privacy laws, the EO directs the appropriate federal agencies to either allow or require recipients of federal funding for housing assistance to collect health information of individuals using their services and provide this information to law enforcement agencies. Further, the EO directs the Attorney General to investigate recipients of federal housing and homelessness assistance who have operated safe consumption sites, bring civil or criminal actions if found to be in violation of federal law, and freeze federal funding of these organizations if in violation of terms of their funding or federal law. </w:t>
      </w:r>
    </w:p>
    <w:p w14:paraId="2B625C5A" w14:textId="0F8FEED3" w:rsidR="001E7568" w:rsidRDefault="001E7568" w:rsidP="00A01AF7">
      <w:pPr>
        <w:spacing w:before="200" w:after="0"/>
        <w:rPr>
          <w:rFonts w:ascii="Poppins SemiBold" w:hAnsi="Poppins SemiBold" w:cs="Poppins SemiBold"/>
          <w:b/>
          <w:bCs/>
          <w:color w:val="4472C4" w:themeColor="accent1"/>
          <w:sz w:val="24"/>
          <w:szCs w:val="24"/>
        </w:rPr>
      </w:pPr>
      <w:r w:rsidRPr="001E7568">
        <w:rPr>
          <w:rFonts w:ascii="Poppins SemiBold" w:hAnsi="Poppins SemiBold" w:cs="Poppins SemiBold"/>
          <w:b/>
          <w:bCs/>
          <w:color w:val="4472C4" w:themeColor="accent1"/>
          <w:sz w:val="24"/>
          <w:szCs w:val="24"/>
        </w:rPr>
        <w:t>Senator Bernie Sanders Addresses the Threat of Medicaid Cuts to Stability of Long-Term Care</w:t>
      </w:r>
      <w:r w:rsidRPr="001E7568">
        <w:rPr>
          <w:rFonts w:ascii="Poppins SemiBold" w:hAnsi="Poppins SemiBold" w:cs="Poppins SemiBold"/>
          <w:b/>
          <w:bCs/>
          <w:color w:val="4472C4" w:themeColor="accent1"/>
          <w:sz w:val="24"/>
          <w:szCs w:val="24"/>
        </w:rPr>
        <w:br/>
      </w:r>
      <w:r>
        <w:rPr>
          <w:rFonts w:ascii="Poppins" w:hAnsi="Poppins" w:cs="Poppins"/>
          <w:sz w:val="20"/>
          <w:szCs w:val="20"/>
        </w:rPr>
        <w:t xml:space="preserve">On July </w:t>
      </w:r>
      <w:r w:rsidRPr="001E7568">
        <w:rPr>
          <w:rFonts w:ascii="Poppins" w:hAnsi="Poppins" w:cs="Poppins"/>
          <w:sz w:val="20"/>
          <w:szCs w:val="20"/>
        </w:rPr>
        <w:t>30</w:t>
      </w:r>
      <w:r w:rsidRPr="001E7568">
        <w:rPr>
          <w:rFonts w:ascii="Poppins" w:hAnsi="Poppins" w:cs="Poppins"/>
          <w:sz w:val="20"/>
          <w:szCs w:val="20"/>
          <w:vertAlign w:val="superscript"/>
        </w:rPr>
        <w:t>th</w:t>
      </w:r>
      <w:r w:rsidRPr="001E7568">
        <w:rPr>
          <w:rFonts w:ascii="Poppins" w:hAnsi="Poppins" w:cs="Poppins"/>
          <w:sz w:val="20"/>
          <w:szCs w:val="20"/>
        </w:rPr>
        <w:t>, Senator Bernie Sanders (I-VT), Ranking Member of the Senate Committee on Health, Education, Labor, and Pension (HELP), </w:t>
      </w:r>
      <w:hyperlink r:id="rId10" w:history="1">
        <w:r w:rsidRPr="00AB6912">
          <w:rPr>
            <w:rStyle w:val="Hyperlink"/>
            <w:rFonts w:ascii="Poppins" w:hAnsi="Poppins" w:cs="Poppins"/>
            <w:sz w:val="20"/>
            <w:szCs w:val="20"/>
          </w:rPr>
          <w:t>hosted </w:t>
        </w:r>
      </w:hyperlink>
      <w:r w:rsidRPr="001E7568">
        <w:rPr>
          <w:rFonts w:ascii="Poppins" w:hAnsi="Poppins" w:cs="Poppins"/>
          <w:sz w:val="20"/>
          <w:szCs w:val="20"/>
        </w:rPr>
        <w:t>a press conference alongside long-term care</w:t>
      </w:r>
      <w:r w:rsidR="00AB6912">
        <w:rPr>
          <w:rFonts w:ascii="Poppins" w:hAnsi="Poppins" w:cs="Poppins"/>
          <w:sz w:val="20"/>
          <w:szCs w:val="20"/>
        </w:rPr>
        <w:t xml:space="preserve"> (LTC)</w:t>
      </w:r>
      <w:r w:rsidRPr="001E7568">
        <w:rPr>
          <w:rFonts w:ascii="Poppins" w:hAnsi="Poppins" w:cs="Poppins"/>
          <w:sz w:val="20"/>
          <w:szCs w:val="20"/>
        </w:rPr>
        <w:t xml:space="preserve"> providers and advocacy leaders to discuss the impacts of Medicaid cuts in the </w:t>
      </w:r>
      <w:r w:rsidRPr="00C76CBE">
        <w:rPr>
          <w:rFonts w:ascii="Poppins" w:hAnsi="Poppins" w:cs="Poppins"/>
          <w:i/>
          <w:iCs/>
          <w:sz w:val="20"/>
          <w:szCs w:val="20"/>
        </w:rPr>
        <w:t>One Big Beautiful Bill Act</w:t>
      </w:r>
      <w:r w:rsidR="00C76CBE">
        <w:rPr>
          <w:rFonts w:ascii="Poppins" w:hAnsi="Poppins" w:cs="Poppins"/>
          <w:sz w:val="20"/>
          <w:szCs w:val="20"/>
        </w:rPr>
        <w:t xml:space="preserve"> (OBBBA)</w:t>
      </w:r>
      <w:r w:rsidRPr="001E7568">
        <w:rPr>
          <w:rFonts w:ascii="Poppins" w:hAnsi="Poppins" w:cs="Poppins"/>
          <w:sz w:val="20"/>
          <w:szCs w:val="20"/>
        </w:rPr>
        <w:t xml:space="preserve"> on nursing homes and </w:t>
      </w:r>
      <w:r w:rsidR="00821954">
        <w:rPr>
          <w:rFonts w:ascii="Poppins" w:hAnsi="Poppins" w:cs="Poppins"/>
          <w:sz w:val="20"/>
          <w:szCs w:val="20"/>
        </w:rPr>
        <w:t>LTC</w:t>
      </w:r>
      <w:r w:rsidRPr="001E7568">
        <w:rPr>
          <w:rFonts w:ascii="Poppins" w:hAnsi="Poppins" w:cs="Poppins"/>
          <w:sz w:val="20"/>
          <w:szCs w:val="20"/>
        </w:rPr>
        <w:t xml:space="preserve"> facilities. Senator Sanders expressed concern that nursing homes and </w:t>
      </w:r>
      <w:r w:rsidR="00821954">
        <w:rPr>
          <w:rFonts w:ascii="Poppins" w:hAnsi="Poppins" w:cs="Poppins"/>
          <w:sz w:val="20"/>
          <w:szCs w:val="20"/>
        </w:rPr>
        <w:t>LTC</w:t>
      </w:r>
      <w:r w:rsidRPr="001E7568">
        <w:rPr>
          <w:rFonts w:ascii="Poppins" w:hAnsi="Poppins" w:cs="Poppins"/>
          <w:sz w:val="20"/>
          <w:szCs w:val="20"/>
        </w:rPr>
        <w:t xml:space="preserve"> facilities that are already understaffed will see a significant decline in revenue </w:t>
      </w:r>
      <w:proofErr w:type="gramStart"/>
      <w:r w:rsidRPr="001E7568">
        <w:rPr>
          <w:rFonts w:ascii="Poppins" w:hAnsi="Poppins" w:cs="Poppins"/>
          <w:sz w:val="20"/>
          <w:szCs w:val="20"/>
        </w:rPr>
        <w:t>as a result of</w:t>
      </w:r>
      <w:proofErr w:type="gramEnd"/>
      <w:r w:rsidRPr="001E7568">
        <w:rPr>
          <w:rFonts w:ascii="Poppins" w:hAnsi="Poppins" w:cs="Poppins"/>
          <w:sz w:val="20"/>
          <w:szCs w:val="20"/>
        </w:rPr>
        <w:t xml:space="preserve"> the bill. He also </w:t>
      </w:r>
      <w:r w:rsidR="00821954">
        <w:rPr>
          <w:rFonts w:ascii="Poppins" w:hAnsi="Poppins" w:cs="Poppins"/>
          <w:sz w:val="20"/>
          <w:szCs w:val="20"/>
        </w:rPr>
        <w:t>expressed</w:t>
      </w:r>
      <w:r w:rsidRPr="001E7568">
        <w:rPr>
          <w:rFonts w:ascii="Poppins" w:hAnsi="Poppins" w:cs="Poppins"/>
          <w:sz w:val="20"/>
          <w:szCs w:val="20"/>
        </w:rPr>
        <w:t xml:space="preserve"> concern that states are not legally required to provide home</w:t>
      </w:r>
      <w:r w:rsidR="00821954">
        <w:rPr>
          <w:rFonts w:ascii="Poppins" w:hAnsi="Poppins" w:cs="Poppins"/>
          <w:sz w:val="20"/>
          <w:szCs w:val="20"/>
        </w:rPr>
        <w:t>-</w:t>
      </w:r>
      <w:r w:rsidRPr="001E7568">
        <w:rPr>
          <w:rFonts w:ascii="Poppins" w:hAnsi="Poppins" w:cs="Poppins"/>
          <w:sz w:val="20"/>
          <w:szCs w:val="20"/>
        </w:rPr>
        <w:t xml:space="preserve"> and community-based services</w:t>
      </w:r>
      <w:r w:rsidR="00F4590B">
        <w:rPr>
          <w:rFonts w:ascii="Poppins" w:hAnsi="Poppins" w:cs="Poppins"/>
          <w:sz w:val="20"/>
          <w:szCs w:val="20"/>
        </w:rPr>
        <w:t xml:space="preserve"> (HCBS)</w:t>
      </w:r>
      <w:r w:rsidRPr="001E7568">
        <w:rPr>
          <w:rFonts w:ascii="Poppins" w:hAnsi="Poppins" w:cs="Poppins"/>
          <w:sz w:val="20"/>
          <w:szCs w:val="20"/>
        </w:rPr>
        <w:t xml:space="preserve"> under Medicaid, putting these services at risk of being cut completely without adequate federal funding.</w:t>
      </w:r>
      <w:r w:rsidRPr="001E7568">
        <w:rPr>
          <w:rFonts w:ascii="Poppins" w:hAnsi="Poppins" w:cs="Poppins"/>
          <w:sz w:val="20"/>
          <w:szCs w:val="20"/>
        </w:rPr>
        <w:br/>
        <w:t>Katie Smith Sloan, the CEO of  LeadingAge, similarly </w:t>
      </w:r>
      <w:hyperlink r:id="rId11" w:history="1">
        <w:r w:rsidR="00F4590B" w:rsidRPr="00F4590B">
          <w:rPr>
            <w:rStyle w:val="Hyperlink"/>
            <w:rFonts w:ascii="Poppins" w:hAnsi="Poppins" w:cs="Poppins"/>
            <w:sz w:val="20"/>
            <w:szCs w:val="20"/>
          </w:rPr>
          <w:t>highlighted</w:t>
        </w:r>
        <w:r w:rsidRPr="00F4590B">
          <w:rPr>
            <w:rStyle w:val="Hyperlink"/>
            <w:rFonts w:ascii="Poppins" w:hAnsi="Poppins" w:cs="Poppins"/>
            <w:sz w:val="20"/>
            <w:szCs w:val="20"/>
          </w:rPr>
          <w:t> </w:t>
        </w:r>
      </w:hyperlink>
      <w:r w:rsidRPr="001E7568">
        <w:rPr>
          <w:rFonts w:ascii="Poppins" w:hAnsi="Poppins" w:cs="Poppins"/>
          <w:sz w:val="20"/>
          <w:szCs w:val="20"/>
        </w:rPr>
        <w:t xml:space="preserve">that nursing homes and </w:t>
      </w:r>
      <w:r w:rsidR="00F4590B">
        <w:rPr>
          <w:rFonts w:ascii="Poppins" w:hAnsi="Poppins" w:cs="Poppins"/>
          <w:sz w:val="20"/>
          <w:szCs w:val="20"/>
        </w:rPr>
        <w:t xml:space="preserve">LTC </w:t>
      </w:r>
      <w:r w:rsidRPr="001E7568">
        <w:rPr>
          <w:rFonts w:ascii="Poppins" w:hAnsi="Poppins" w:cs="Poppins"/>
          <w:sz w:val="20"/>
          <w:szCs w:val="20"/>
        </w:rPr>
        <w:t xml:space="preserve">facilities are dependent on Medicaid payments to deliver care and without these payments, these facilities may have to close their doors. Deke Cateau from A.G. Rhodes Nursing Homes claimed that for American seniors, Medicaid is their healthcare system, and any cuts to this system will have an immediate impact on staff who care for these individuals and the services they are able to provide. Finally, Heather Turbyne-Pollard from Center Circle Adult </w:t>
      </w:r>
      <w:r w:rsidRPr="001E7568">
        <w:rPr>
          <w:rFonts w:ascii="Poppins" w:hAnsi="Poppins" w:cs="Poppins"/>
          <w:sz w:val="20"/>
          <w:szCs w:val="20"/>
        </w:rPr>
        <w:lastRenderedPageBreak/>
        <w:t xml:space="preserve">Day Services noted that Medicaid reimburses just $64.17 per day while it costs over $150 per day to deliver care. She noted that current reimbursement models are already insufficient but now face the chance of further reduction and elimination </w:t>
      </w:r>
      <w:r w:rsidR="00DB3B98" w:rsidRPr="001E7568">
        <w:rPr>
          <w:rFonts w:ascii="Poppins" w:hAnsi="Poppins" w:cs="Poppins"/>
          <w:sz w:val="20"/>
          <w:szCs w:val="20"/>
        </w:rPr>
        <w:t>because of</w:t>
      </w:r>
      <w:r w:rsidRPr="001E7568">
        <w:rPr>
          <w:rFonts w:ascii="Poppins" w:hAnsi="Poppins" w:cs="Poppins"/>
          <w:sz w:val="20"/>
          <w:szCs w:val="20"/>
        </w:rPr>
        <w:t xml:space="preserve"> the bill’s passage. She concluded by expressing the importance of community-based care models like adult day services that act as an extension of care for families so caregivers can continue to work and participate in their communities. Senator Sanders urged policymakers to take care of older, vulnerable citizens with the respect, compassion, and dignity that they are entitled to.</w:t>
      </w:r>
    </w:p>
    <w:p w14:paraId="59B1005C" w14:textId="6F33A589" w:rsidR="00676E4B" w:rsidRPr="00676E4B" w:rsidRDefault="00676E4B" w:rsidP="00A01AF7">
      <w:pPr>
        <w:spacing w:before="200" w:after="0"/>
        <w:rPr>
          <w:rFonts w:ascii="Poppins SemiBold" w:hAnsi="Poppins SemiBold" w:cs="Poppins SemiBold"/>
          <w:b/>
          <w:bCs/>
          <w:color w:val="4472C4" w:themeColor="accent1"/>
          <w:sz w:val="24"/>
          <w:szCs w:val="24"/>
        </w:rPr>
      </w:pPr>
      <w:r w:rsidRPr="00676E4B">
        <w:rPr>
          <w:rFonts w:ascii="Poppins SemiBold" w:hAnsi="Poppins SemiBold" w:cs="Poppins SemiBold"/>
          <w:b/>
          <w:bCs/>
          <w:color w:val="4472C4" w:themeColor="accent1"/>
          <w:sz w:val="24"/>
          <w:szCs w:val="24"/>
        </w:rPr>
        <w:t>CDC Director Confirmed as Senate Democrats Investigate the Dismissal of Vaccine Advisors </w:t>
      </w:r>
    </w:p>
    <w:p w14:paraId="7667BD09" w14:textId="0418A6E6" w:rsidR="00676E4B" w:rsidRPr="00676E4B" w:rsidRDefault="00676E4B" w:rsidP="00A01AF7">
      <w:pPr>
        <w:spacing w:before="200" w:after="0"/>
        <w:rPr>
          <w:rFonts w:ascii="Poppins" w:hAnsi="Poppins" w:cs="Poppins"/>
          <w:sz w:val="20"/>
          <w:szCs w:val="20"/>
        </w:rPr>
      </w:pPr>
      <w:r w:rsidRPr="00676E4B">
        <w:rPr>
          <w:rFonts w:ascii="Poppins" w:hAnsi="Poppins" w:cs="Poppins"/>
          <w:sz w:val="20"/>
          <w:szCs w:val="20"/>
        </w:rPr>
        <w:t>On July 29</w:t>
      </w:r>
      <w:r w:rsidR="004F71B2" w:rsidRPr="004F71B2">
        <w:rPr>
          <w:rFonts w:ascii="Poppins" w:hAnsi="Poppins" w:cs="Poppins"/>
          <w:sz w:val="20"/>
          <w:szCs w:val="20"/>
          <w:vertAlign w:val="superscript"/>
        </w:rPr>
        <w:t>th</w:t>
      </w:r>
      <w:r w:rsidRPr="00676E4B">
        <w:rPr>
          <w:rFonts w:ascii="Poppins" w:hAnsi="Poppins" w:cs="Poppins"/>
          <w:sz w:val="20"/>
          <w:szCs w:val="20"/>
        </w:rPr>
        <w:t>, the Senate</w:t>
      </w:r>
      <w:r w:rsidRPr="00676E4B">
        <w:rPr>
          <w:rFonts w:ascii="Times New Roman" w:hAnsi="Times New Roman" w:cs="Times New Roman"/>
          <w:sz w:val="20"/>
          <w:szCs w:val="20"/>
        </w:rPr>
        <w:t> </w:t>
      </w:r>
      <w:hyperlink r:id="rId12" w:history="1">
        <w:r w:rsidRPr="00676E4B">
          <w:rPr>
            <w:rStyle w:val="Hyperlink"/>
            <w:rFonts w:ascii="Poppins" w:hAnsi="Poppins" w:cs="Poppins"/>
            <w:sz w:val="20"/>
            <w:szCs w:val="20"/>
          </w:rPr>
          <w:t>confirmed</w:t>
        </w:r>
        <w:r w:rsidRPr="00676E4B">
          <w:rPr>
            <w:rStyle w:val="Hyperlink"/>
            <w:rFonts w:ascii="Times New Roman" w:hAnsi="Times New Roman" w:cs="Times New Roman"/>
            <w:sz w:val="20"/>
            <w:szCs w:val="20"/>
          </w:rPr>
          <w:t> </w:t>
        </w:r>
      </w:hyperlink>
      <w:r w:rsidRPr="00676E4B">
        <w:rPr>
          <w:rFonts w:ascii="Poppins" w:hAnsi="Poppins" w:cs="Poppins"/>
          <w:sz w:val="20"/>
          <w:szCs w:val="20"/>
        </w:rPr>
        <w:t>President Trump’s nominee, Susan Monarez, to lead the Centers for Disease Control and Prevention (CDC) in a 51-47 vote largely along party lines. Director Monarez is a longtime government scientist who has worked in the federal government for nearly 20 years and served as the acting director of the CDC from January 2025 to March 2025 before being officially nominated as director. She is the first CDC director to be confirmed by the Senate because the confirmation requirement was passed in 2022 and allowed the previous director to remain in the role without official confirmation. Democrats expressed concern with Director Monarez’s willingness to comply with controversial executive orders from the Trump White House while serving as acting director earlier this year and her refusal to contradict or repudiate Department of Health and Human Services (HHS) Secretary Kennedy’s view on the safety and efficacy of vaccines. On the other side of the aisle, Republicans see Director Monarez as a leader who will make decisions rooted in science and reform the CDC to restore public trust in governmental health institutions. </w:t>
      </w:r>
    </w:p>
    <w:p w14:paraId="04CBE687" w14:textId="77777777" w:rsidR="00676E4B" w:rsidRPr="00676E4B" w:rsidRDefault="00676E4B" w:rsidP="00A01AF7">
      <w:pPr>
        <w:spacing w:before="200" w:after="0"/>
        <w:rPr>
          <w:rFonts w:ascii="Poppins" w:hAnsi="Poppins" w:cs="Poppins"/>
          <w:sz w:val="20"/>
          <w:szCs w:val="20"/>
        </w:rPr>
      </w:pPr>
      <w:r w:rsidRPr="00676E4B">
        <w:rPr>
          <w:rFonts w:ascii="Poppins" w:hAnsi="Poppins" w:cs="Poppins"/>
          <w:sz w:val="20"/>
          <w:szCs w:val="20"/>
        </w:rPr>
        <w:t>Director Monarez’s confirmation comes as the agency is under fire by HHS Secretary Robert F. Kennedy Jr. and the broader Trump administration who are looking to cut the CDC’s budget by almost half in 2026 and have fired hundreds of CDC staff, including all 17 members of the CDC’s Advisory Committee on Immunization Practices (ACIP) just last month. </w:t>
      </w:r>
    </w:p>
    <w:p w14:paraId="4C236992" w14:textId="3C3C1F89" w:rsidR="00676E4B" w:rsidRPr="00676E4B" w:rsidRDefault="00676E4B" w:rsidP="00A01AF7">
      <w:pPr>
        <w:spacing w:before="200" w:after="0"/>
        <w:rPr>
          <w:rFonts w:ascii="Poppins" w:hAnsi="Poppins" w:cs="Poppins"/>
          <w:sz w:val="20"/>
          <w:szCs w:val="20"/>
        </w:rPr>
      </w:pPr>
      <w:r w:rsidRPr="00676E4B">
        <w:rPr>
          <w:rFonts w:ascii="Poppins" w:hAnsi="Poppins" w:cs="Poppins"/>
          <w:sz w:val="20"/>
          <w:szCs w:val="20"/>
        </w:rPr>
        <w:t>On the same day as Director Monarez’s confirmation, Senate Health Committee Democrats</w:t>
      </w:r>
      <w:r w:rsidRPr="00676E4B">
        <w:rPr>
          <w:rFonts w:ascii="Times New Roman" w:hAnsi="Times New Roman" w:cs="Times New Roman"/>
          <w:sz w:val="20"/>
          <w:szCs w:val="20"/>
        </w:rPr>
        <w:t> </w:t>
      </w:r>
      <w:hyperlink r:id="rId13" w:history="1">
        <w:r w:rsidRPr="00676E4B">
          <w:rPr>
            <w:rStyle w:val="Hyperlink"/>
            <w:rFonts w:ascii="Poppins" w:hAnsi="Poppins" w:cs="Poppins"/>
            <w:sz w:val="20"/>
            <w:szCs w:val="20"/>
          </w:rPr>
          <w:t>launched</w:t>
        </w:r>
      </w:hyperlink>
      <w:r w:rsidRPr="00676E4B">
        <w:rPr>
          <w:rFonts w:ascii="Times New Roman" w:hAnsi="Times New Roman" w:cs="Times New Roman"/>
          <w:sz w:val="20"/>
          <w:szCs w:val="20"/>
        </w:rPr>
        <w:t> </w:t>
      </w:r>
      <w:r w:rsidRPr="00676E4B">
        <w:rPr>
          <w:rFonts w:ascii="Poppins" w:hAnsi="Poppins" w:cs="Poppins"/>
          <w:sz w:val="20"/>
          <w:szCs w:val="20"/>
        </w:rPr>
        <w:t xml:space="preserve">a formal investigation into Secretary Kennedy’s firing of ACIP members and his vaccine policy decisions in the absence of a confirmed CDC director. </w:t>
      </w:r>
      <w:proofErr w:type="gramStart"/>
      <w:r w:rsidRPr="00676E4B">
        <w:rPr>
          <w:rFonts w:ascii="Poppins" w:hAnsi="Poppins" w:cs="Poppins"/>
          <w:sz w:val="20"/>
          <w:szCs w:val="20"/>
        </w:rPr>
        <w:t>In order to</w:t>
      </w:r>
      <w:proofErr w:type="gramEnd"/>
      <w:r w:rsidRPr="00676E4B">
        <w:rPr>
          <w:rFonts w:ascii="Poppins" w:hAnsi="Poppins" w:cs="Poppins"/>
          <w:sz w:val="20"/>
          <w:szCs w:val="20"/>
        </w:rPr>
        <w:t xml:space="preserve"> become official policy, the CDC director must sign off on ACIP recommendations; prior to Director Monarez’s confirmation, Secretary Kennedy assumed this role. Senate Democrats, led by Ranking Member Bernie Sanders (I-VT) of the Health, Education, Labor and Pensions (HELP) Committee asked for a detailed explanation of why Secretary Kennedy dismissed the ACIP members, who else was involved in the dismissal process, and how the 8 new ACIP members were selected. Democratic leaders involved in the investigation cited that the investigation was launched in a partisan manner because their</w:t>
      </w:r>
      <w:r w:rsidRPr="00676E4B">
        <w:rPr>
          <w:rFonts w:ascii="Times New Roman" w:hAnsi="Times New Roman" w:cs="Times New Roman"/>
          <w:sz w:val="20"/>
          <w:szCs w:val="20"/>
        </w:rPr>
        <w:t> </w:t>
      </w:r>
      <w:hyperlink r:id="rId14" w:history="1">
        <w:r w:rsidRPr="00676E4B">
          <w:rPr>
            <w:rStyle w:val="Hyperlink"/>
            <w:rFonts w:ascii="Poppins" w:hAnsi="Poppins" w:cs="Poppins"/>
            <w:sz w:val="20"/>
            <w:szCs w:val="20"/>
          </w:rPr>
          <w:t>request</w:t>
        </w:r>
      </w:hyperlink>
      <w:r w:rsidRPr="00676E4B">
        <w:rPr>
          <w:rFonts w:ascii="Times New Roman" w:hAnsi="Times New Roman" w:cs="Times New Roman"/>
          <w:sz w:val="20"/>
          <w:szCs w:val="20"/>
        </w:rPr>
        <w:t> </w:t>
      </w:r>
      <w:r w:rsidRPr="00676E4B">
        <w:rPr>
          <w:rFonts w:ascii="Poppins" w:hAnsi="Poppins" w:cs="Poppins"/>
          <w:sz w:val="20"/>
          <w:szCs w:val="20"/>
        </w:rPr>
        <w:t xml:space="preserve">for a bipartisan support was </w:t>
      </w:r>
      <w:r w:rsidRPr="00676E4B">
        <w:rPr>
          <w:rFonts w:ascii="Poppins" w:hAnsi="Poppins" w:cs="Poppins"/>
          <w:sz w:val="20"/>
          <w:szCs w:val="20"/>
        </w:rPr>
        <w:lastRenderedPageBreak/>
        <w:t>ignored by Chairman Bill Cassidy (R-LA). Chairman Cassidy viewed an investigation as pointless because the Senate HELP Committee would have the opportunity to question Secretary Kennedy directly the next time he testified in front of them. </w:t>
      </w:r>
    </w:p>
    <w:p w14:paraId="1DB59504" w14:textId="783609D0" w:rsidR="005F04BF" w:rsidRPr="005F04BF" w:rsidRDefault="005F04BF" w:rsidP="00A01AF7">
      <w:pPr>
        <w:spacing w:before="200" w:after="0"/>
        <w:rPr>
          <w:rFonts w:ascii="Poppins SemiBold" w:hAnsi="Poppins SemiBold" w:cs="Poppins SemiBold"/>
          <w:b/>
          <w:bCs/>
          <w:color w:val="4472C4" w:themeColor="accent1"/>
          <w:sz w:val="24"/>
          <w:szCs w:val="24"/>
        </w:rPr>
      </w:pPr>
      <w:r w:rsidRPr="005F04BF">
        <w:rPr>
          <w:rFonts w:ascii="Poppins SemiBold" w:hAnsi="Poppins SemiBold" w:cs="Poppins SemiBold"/>
          <w:b/>
          <w:bCs/>
          <w:color w:val="4472C4" w:themeColor="accent1"/>
          <w:sz w:val="24"/>
          <w:szCs w:val="24"/>
        </w:rPr>
        <w:t>Senate Appropriations Committee Advanced FY 2026 Labor-HHS-Education Bill </w:t>
      </w:r>
    </w:p>
    <w:p w14:paraId="5DF28D3A" w14:textId="3D20DF42" w:rsidR="00D421A1" w:rsidRDefault="00D421A1" w:rsidP="00A01AF7">
      <w:pPr>
        <w:spacing w:before="200" w:after="0"/>
        <w:rPr>
          <w:rFonts w:ascii="Poppins" w:hAnsi="Poppins" w:cs="Poppins"/>
          <w:sz w:val="20"/>
          <w:szCs w:val="20"/>
        </w:rPr>
      </w:pPr>
      <w:r w:rsidRPr="00D421A1">
        <w:rPr>
          <w:rFonts w:ascii="Poppins" w:hAnsi="Poppins" w:cs="Poppins"/>
          <w:sz w:val="20"/>
          <w:szCs w:val="20"/>
        </w:rPr>
        <w:t xml:space="preserve">In a 26-3 vote, the Senate Appropriations Committee advanced its </w:t>
      </w:r>
      <w:hyperlink r:id="rId15" w:tgtFrame="_blank" w:history="1">
        <w:r w:rsidRPr="00D421A1">
          <w:rPr>
            <w:rStyle w:val="Hyperlink"/>
            <w:rFonts w:ascii="Poppins" w:hAnsi="Poppins" w:cs="Poppins"/>
            <w:sz w:val="20"/>
            <w:szCs w:val="20"/>
          </w:rPr>
          <w:t>FY 2026 Labor-HHS-Education spending bill</w:t>
        </w:r>
      </w:hyperlink>
      <w:r w:rsidRPr="00D421A1">
        <w:rPr>
          <w:rFonts w:ascii="Poppins" w:hAnsi="Poppins" w:cs="Poppins"/>
          <w:sz w:val="20"/>
          <w:szCs w:val="20"/>
        </w:rPr>
        <w:t>, pushing back on cuts proposed by President Trump. This spending bill would provide almost $197 billion in funding for the Departments of Health and Human Services (HHS), Education, and Labor. The funding would also support increases for disease research, labor programs, and early-childhood education programs like Head Start. Members of Congress included language throughout the bill that would require agencies to maintain an adequate number of staff, a direct pushback against the administration’s mass federal layoffs. The bill does not mention the Administration for a Healthy America, which was included in the President’s budget request and would combine several existing offices and programs. Additionally, the bill does not actualize the proposed budget cuts to various HHS agencies outlined in the administration’s budget request to Congress earlier this year. Despite major pushback on many administration initiatives, the bill continues efforts to defund the Corporation for Public Broadcasting, which Appropriations Committee Vice Chair Patty Murray (D-WA) called “a shameful reality”. Republican senators are looking to pass their first batch of funding bills through the chamber as it prepares to recess for the month of August.</w:t>
      </w:r>
    </w:p>
    <w:p w14:paraId="48B9E6A7" w14:textId="305C3F3B" w:rsidR="00D822AC" w:rsidRDefault="00D822AC" w:rsidP="00A01AF7">
      <w:pPr>
        <w:spacing w:before="200" w:after="0"/>
        <w:rPr>
          <w:rFonts w:ascii="Poppins SemiBold" w:hAnsi="Poppins SemiBold" w:cs="Poppins SemiBold"/>
          <w:b/>
          <w:bCs/>
          <w:color w:val="4472C4" w:themeColor="accent1"/>
          <w:sz w:val="24"/>
          <w:szCs w:val="24"/>
        </w:rPr>
      </w:pPr>
      <w:r w:rsidRPr="00D822AC">
        <w:rPr>
          <w:rFonts w:ascii="Poppins SemiBold" w:hAnsi="Poppins SemiBold" w:cs="Poppins SemiBold"/>
          <w:b/>
          <w:bCs/>
          <w:color w:val="4472C4" w:themeColor="accent1"/>
          <w:sz w:val="24"/>
          <w:szCs w:val="24"/>
        </w:rPr>
        <w:t>Senate HELP Committee Addresses Healthcare Affordability in Bipartisan Hearing</w:t>
      </w:r>
    </w:p>
    <w:p w14:paraId="03549D7D" w14:textId="2834B895" w:rsidR="00185FA8" w:rsidRPr="00185FA8" w:rsidRDefault="00185FA8" w:rsidP="00A01AF7">
      <w:pPr>
        <w:spacing w:before="200" w:line="240" w:lineRule="auto"/>
        <w:rPr>
          <w:rFonts w:ascii="Poppins" w:hAnsi="Poppins" w:cs="Poppins"/>
          <w:sz w:val="20"/>
          <w:szCs w:val="20"/>
        </w:rPr>
      </w:pPr>
      <w:r w:rsidRPr="00185FA8">
        <w:rPr>
          <w:rFonts w:ascii="Poppins" w:hAnsi="Poppins" w:cs="Poppins"/>
          <w:sz w:val="20"/>
          <w:szCs w:val="20"/>
        </w:rPr>
        <w:t>On July 31</w:t>
      </w:r>
      <w:r w:rsidR="004F71B2" w:rsidRPr="004F71B2">
        <w:rPr>
          <w:rFonts w:ascii="Poppins" w:hAnsi="Poppins" w:cs="Poppins"/>
          <w:sz w:val="20"/>
          <w:szCs w:val="20"/>
          <w:vertAlign w:val="superscript"/>
        </w:rPr>
        <w:t>st</w:t>
      </w:r>
      <w:r w:rsidRPr="00185FA8">
        <w:rPr>
          <w:rFonts w:ascii="Poppins" w:hAnsi="Poppins" w:cs="Poppins"/>
          <w:sz w:val="20"/>
          <w:szCs w:val="20"/>
        </w:rPr>
        <w:t>, the Senate Health, Education, Labor and Pensions (HELP) Committee</w:t>
      </w:r>
      <w:r w:rsidRPr="00185FA8">
        <w:rPr>
          <w:rFonts w:ascii="Times New Roman" w:hAnsi="Times New Roman" w:cs="Times New Roman"/>
          <w:sz w:val="20"/>
          <w:szCs w:val="20"/>
        </w:rPr>
        <w:t> </w:t>
      </w:r>
      <w:hyperlink r:id="rId16" w:tgtFrame="_blank" w:history="1">
        <w:r w:rsidRPr="00185FA8">
          <w:rPr>
            <w:rStyle w:val="Hyperlink"/>
            <w:rFonts w:ascii="Poppins" w:hAnsi="Poppins" w:cs="Poppins"/>
            <w:sz w:val="20"/>
            <w:szCs w:val="20"/>
          </w:rPr>
          <w:t>held</w:t>
        </w:r>
      </w:hyperlink>
      <w:r w:rsidRPr="00185FA8">
        <w:rPr>
          <w:rFonts w:ascii="Times New Roman" w:hAnsi="Times New Roman" w:cs="Times New Roman"/>
          <w:sz w:val="20"/>
          <w:szCs w:val="20"/>
        </w:rPr>
        <w:t> </w:t>
      </w:r>
      <w:r w:rsidRPr="00185FA8">
        <w:rPr>
          <w:rFonts w:ascii="Poppins" w:hAnsi="Poppins" w:cs="Poppins"/>
          <w:sz w:val="20"/>
          <w:szCs w:val="20"/>
        </w:rPr>
        <w:t>a hearing to examine solutions to lower healthcare costs for patients. While there was strong bipartisan interest in making healthcare more affordable and agreement that current healthcare costs are unsustainable for working families, employers, and the federal government, Republicans and Democrats on the committee disagreed on solutions to address the issue. </w:t>
      </w:r>
    </w:p>
    <w:p w14:paraId="602A794F" w14:textId="77777777" w:rsidR="00185FA8" w:rsidRPr="00185FA8" w:rsidRDefault="00185FA8" w:rsidP="00A01AF7">
      <w:pPr>
        <w:spacing w:before="200" w:line="240" w:lineRule="auto"/>
        <w:rPr>
          <w:rFonts w:ascii="Poppins" w:hAnsi="Poppins" w:cs="Poppins"/>
          <w:sz w:val="20"/>
          <w:szCs w:val="20"/>
        </w:rPr>
      </w:pPr>
      <w:r w:rsidRPr="00185FA8">
        <w:rPr>
          <w:rFonts w:ascii="Poppins" w:hAnsi="Poppins" w:cs="Poppins"/>
          <w:sz w:val="20"/>
          <w:szCs w:val="20"/>
        </w:rPr>
        <w:t xml:space="preserve">Chairman Bill Cassidy (R-LA) and Republican members of the committee emphasized the need for price transparency, pharmacy benefit manager (PBM) reforms, and employer data access as potential strategies to drive market-based cost reductions. They also expressed concern that savings from the 340B program are not reaching patients and instead being kept as profit by hospitals. Alternatively, Ranking Member Bernie Sanders (I-VT) and other Democratic members suggested universal coverage as a solution to address profit-driven insurance and pharmaceutical companies, who they believe are the cause of high drug costs. Democratic representatives also expressed strong opposition to the One Big Beautiful </w:t>
      </w:r>
      <w:r w:rsidRPr="00185FA8">
        <w:rPr>
          <w:rFonts w:ascii="Poppins" w:hAnsi="Poppins" w:cs="Poppins"/>
          <w:sz w:val="20"/>
          <w:szCs w:val="20"/>
        </w:rPr>
        <w:lastRenderedPageBreak/>
        <w:t>Bill Act’s Medicaid cuts, arguing safety-net providers offering pediatric and rural health care services are left especially vulnerable to spending reductions. </w:t>
      </w:r>
    </w:p>
    <w:p w14:paraId="587CAEAE" w14:textId="77777777" w:rsidR="00185FA8" w:rsidRDefault="00185FA8" w:rsidP="00A01AF7">
      <w:pPr>
        <w:spacing w:before="200" w:line="240" w:lineRule="auto"/>
        <w:rPr>
          <w:rFonts w:ascii="Poppins" w:hAnsi="Poppins" w:cs="Poppins"/>
          <w:sz w:val="20"/>
          <w:szCs w:val="20"/>
        </w:rPr>
      </w:pPr>
      <w:r w:rsidRPr="00185FA8">
        <w:rPr>
          <w:rFonts w:ascii="Poppins" w:hAnsi="Poppins" w:cs="Poppins"/>
          <w:sz w:val="20"/>
          <w:szCs w:val="20"/>
        </w:rPr>
        <w:t>Hearing witnesses included policy experts, economists, and healthcare professionals. Multiple witnesses called for the expansion of employer access to claims data and enforcement of hospital price transparency rules to empower employer purchasers. Committee members expressed their support for these proposals through their previous</w:t>
      </w:r>
      <w:r w:rsidRPr="00185FA8">
        <w:rPr>
          <w:rFonts w:ascii="Times New Roman" w:hAnsi="Times New Roman" w:cs="Times New Roman"/>
          <w:sz w:val="20"/>
          <w:szCs w:val="20"/>
        </w:rPr>
        <w:t> </w:t>
      </w:r>
      <w:hyperlink r:id="rId17" w:tgtFrame="_blank" w:history="1">
        <w:r w:rsidRPr="00185FA8">
          <w:rPr>
            <w:rStyle w:val="Hyperlink"/>
            <w:rFonts w:ascii="Poppins" w:hAnsi="Poppins" w:cs="Poppins"/>
            <w:sz w:val="20"/>
            <w:szCs w:val="20"/>
          </w:rPr>
          <w:t>introduction</w:t>
        </w:r>
      </w:hyperlink>
      <w:r w:rsidRPr="00185FA8">
        <w:rPr>
          <w:rFonts w:ascii="Times New Roman" w:hAnsi="Times New Roman" w:cs="Times New Roman"/>
          <w:sz w:val="20"/>
          <w:szCs w:val="20"/>
        </w:rPr>
        <w:t> </w:t>
      </w:r>
      <w:r w:rsidRPr="00185FA8">
        <w:rPr>
          <w:rFonts w:ascii="Poppins" w:hAnsi="Poppins" w:cs="Poppins"/>
          <w:sz w:val="20"/>
          <w:szCs w:val="20"/>
        </w:rPr>
        <w:t>of bipartisan legislation that would require healthcare entities to publicly advertise the prices associated with health care services. Witnesses also raised concerns about growing healthcare consolidation and administrative costs. In response, Representatives on both sides of the aisle called for stronger oversight from the Federal Trade Commission (FTC) and retrospective merger reviews to enforce basic market safeguards like transparency, competition, and accountability. </w:t>
      </w:r>
    </w:p>
    <w:p w14:paraId="206FEDD0" w14:textId="77777777" w:rsidR="002A0796" w:rsidRPr="002A0796" w:rsidRDefault="002A0796" w:rsidP="00A01AF7">
      <w:pPr>
        <w:spacing w:before="200" w:line="240" w:lineRule="auto"/>
        <w:rPr>
          <w:rFonts w:ascii="Poppins SemiBold" w:hAnsi="Poppins SemiBold" w:cs="Poppins SemiBold"/>
          <w:color w:val="4472C4" w:themeColor="accent1"/>
          <w:sz w:val="24"/>
          <w:szCs w:val="24"/>
        </w:rPr>
      </w:pPr>
      <w:r w:rsidRPr="002A0796">
        <w:rPr>
          <w:rFonts w:ascii="Poppins SemiBold" w:hAnsi="Poppins SemiBold" w:cs="Poppins SemiBold"/>
          <w:b/>
          <w:bCs/>
          <w:color w:val="4472C4" w:themeColor="accent1"/>
          <w:sz w:val="24"/>
          <w:szCs w:val="24"/>
        </w:rPr>
        <w:t>New Pharmaceutical Tariff Deal Between the U.S. and EU: What it Means for U.S. Drugmakers</w:t>
      </w:r>
      <w:r w:rsidRPr="002A0796">
        <w:rPr>
          <w:rFonts w:ascii="Poppins SemiBold" w:hAnsi="Poppins SemiBold" w:cs="Poppins SemiBold"/>
          <w:color w:val="4472C4" w:themeColor="accent1"/>
          <w:sz w:val="24"/>
          <w:szCs w:val="24"/>
        </w:rPr>
        <w:t> </w:t>
      </w:r>
    </w:p>
    <w:p w14:paraId="01030109" w14:textId="7CC25C5B" w:rsidR="002A0796" w:rsidRPr="002A0796" w:rsidRDefault="002A0796" w:rsidP="00A01AF7">
      <w:pPr>
        <w:spacing w:before="200" w:line="240" w:lineRule="auto"/>
        <w:rPr>
          <w:rFonts w:ascii="Poppins" w:hAnsi="Poppins" w:cs="Poppins"/>
          <w:sz w:val="20"/>
          <w:szCs w:val="20"/>
        </w:rPr>
      </w:pPr>
      <w:r w:rsidRPr="002A0796">
        <w:rPr>
          <w:rFonts w:ascii="Poppins" w:hAnsi="Poppins" w:cs="Poppins"/>
          <w:sz w:val="20"/>
          <w:szCs w:val="20"/>
        </w:rPr>
        <w:t>On Sunday July 27</w:t>
      </w:r>
      <w:r w:rsidR="004F71B2" w:rsidRPr="004F71B2">
        <w:rPr>
          <w:rFonts w:ascii="Poppins" w:hAnsi="Poppins" w:cs="Poppins"/>
          <w:sz w:val="20"/>
          <w:szCs w:val="20"/>
          <w:vertAlign w:val="superscript"/>
        </w:rPr>
        <w:t>th</w:t>
      </w:r>
      <w:r w:rsidRPr="002A0796">
        <w:rPr>
          <w:rFonts w:ascii="Poppins" w:hAnsi="Poppins" w:cs="Poppins"/>
          <w:sz w:val="20"/>
          <w:szCs w:val="20"/>
        </w:rPr>
        <w:t>, President Trump</w:t>
      </w:r>
      <w:r w:rsidRPr="002A0796">
        <w:rPr>
          <w:rFonts w:ascii="Times New Roman" w:hAnsi="Times New Roman" w:cs="Times New Roman"/>
          <w:sz w:val="20"/>
          <w:szCs w:val="20"/>
        </w:rPr>
        <w:t> </w:t>
      </w:r>
      <w:hyperlink r:id="rId18" w:tgtFrame="_blank" w:history="1">
        <w:r w:rsidRPr="002A0796">
          <w:rPr>
            <w:rStyle w:val="Hyperlink"/>
            <w:rFonts w:ascii="Poppins" w:hAnsi="Poppins" w:cs="Poppins"/>
            <w:sz w:val="20"/>
            <w:szCs w:val="20"/>
          </w:rPr>
          <w:t>reached</w:t>
        </w:r>
      </w:hyperlink>
      <w:r w:rsidRPr="002A0796">
        <w:rPr>
          <w:rFonts w:ascii="Times New Roman" w:hAnsi="Times New Roman" w:cs="Times New Roman"/>
          <w:sz w:val="20"/>
          <w:szCs w:val="20"/>
        </w:rPr>
        <w:t> </w:t>
      </w:r>
      <w:r w:rsidRPr="002A0796">
        <w:rPr>
          <w:rFonts w:ascii="Poppins" w:hAnsi="Poppins" w:cs="Poppins"/>
          <w:sz w:val="20"/>
          <w:szCs w:val="20"/>
        </w:rPr>
        <w:t>a trade deal with the European Union to impose a 15% tariff on European goods, including branded pharmaceuticals. Pharmaceuticals have historically been exempted from duties, but most will be subject to the new tariff. While the tariff on pharmaceuticals is significantly lower than the 200% President Trump ha</w:t>
      </w:r>
      <w:r w:rsidR="002067A8">
        <w:rPr>
          <w:rFonts w:ascii="Poppins" w:hAnsi="Poppins" w:cs="Poppins"/>
          <w:sz w:val="20"/>
          <w:szCs w:val="20"/>
        </w:rPr>
        <w:t>d</w:t>
      </w:r>
      <w:r w:rsidRPr="002A0796">
        <w:rPr>
          <w:rFonts w:ascii="Poppins" w:hAnsi="Poppins" w:cs="Poppins"/>
          <w:sz w:val="20"/>
          <w:szCs w:val="20"/>
        </w:rPr>
        <w:t xml:space="preserve"> threatened for the broader pharmaceutical industry, new import costs will still likely increase expenses for the United States drug industry. The 15% tariff was intended to be paid by drug manufacturers importing finished drug products or ingredients into the United States but may cause consumers to pay higher prices or face drug shortages. This has drawn concern from European officials that U.S. drug manufacturers may pull out of investments in Europe at the expense of European jobs, factories, and tax revenue. </w:t>
      </w:r>
    </w:p>
    <w:p w14:paraId="6B4B59C9" w14:textId="77777777" w:rsidR="002A0796" w:rsidRPr="002A0796" w:rsidRDefault="002A0796" w:rsidP="00A01AF7">
      <w:pPr>
        <w:spacing w:before="200" w:line="240" w:lineRule="auto"/>
        <w:rPr>
          <w:rFonts w:ascii="Poppins" w:hAnsi="Poppins" w:cs="Poppins"/>
          <w:sz w:val="20"/>
          <w:szCs w:val="20"/>
        </w:rPr>
      </w:pPr>
      <w:r w:rsidRPr="002A0796">
        <w:rPr>
          <w:rFonts w:ascii="Poppins" w:hAnsi="Poppins" w:cs="Poppins"/>
          <w:sz w:val="20"/>
          <w:szCs w:val="20"/>
        </w:rPr>
        <w:t>President Trump is planning to announce higher tariffs on other pharmaceuticals in the coming weeks, with the goal of bringing more manufacturing back to the United States. PhRMA, the pharmaceutical industry’s main lobbying group, stated tariffs are not the answer to promoting greater domestic production of pharmaceutical products. Instead, the pharmaceutical industry argues the tariffs would lead to less funding for research and manufacturing in the United States. EU officials have suggested additional tariffs would not be imposed on European branded pharmaceuticals beyond the 15% included in the trade deal. </w:t>
      </w:r>
    </w:p>
    <w:p w14:paraId="09739932" w14:textId="4236DF9C" w:rsidR="002A0796" w:rsidRPr="00185FA8" w:rsidRDefault="00A25198" w:rsidP="00A01AF7">
      <w:pPr>
        <w:spacing w:before="200" w:line="240" w:lineRule="auto"/>
        <w:rPr>
          <w:rFonts w:ascii="Poppins" w:hAnsi="Poppins" w:cs="Poppins"/>
          <w:sz w:val="20"/>
          <w:szCs w:val="20"/>
        </w:rPr>
      </w:pPr>
      <w:r w:rsidRPr="00A25198">
        <w:rPr>
          <w:rFonts w:ascii="Poppins SemiBold" w:hAnsi="Poppins SemiBold" w:cs="Poppins SemiBold"/>
          <w:b/>
          <w:bCs/>
          <w:color w:val="4472C4" w:themeColor="accent1"/>
          <w:sz w:val="24"/>
          <w:szCs w:val="24"/>
        </w:rPr>
        <w:t>CMS Launches Public-Private Collaboration to Build Digital Health Ecosystem</w:t>
      </w:r>
      <w:r w:rsidRPr="00A25198">
        <w:rPr>
          <w:rFonts w:ascii="Poppins" w:hAnsi="Poppins" w:cs="Poppins"/>
          <w:sz w:val="20"/>
          <w:szCs w:val="20"/>
        </w:rPr>
        <w:br/>
        <w:t>The Centers for Medicare &amp; Medicaid Services (CMS) </w:t>
      </w:r>
      <w:hyperlink r:id="rId19" w:tooltip="https://healthsperien.us19.list-manage.com/track/click?u=b80803827ec1d826bd16eace6&amp;id=ad7a348705&amp;e=02f9a79650" w:history="1">
        <w:r w:rsidRPr="00A25198">
          <w:rPr>
            <w:rStyle w:val="Hyperlink"/>
            <w:rFonts w:ascii="Poppins" w:hAnsi="Poppins" w:cs="Poppins"/>
            <w:sz w:val="20"/>
            <w:szCs w:val="20"/>
          </w:rPr>
          <w:t>announced</w:t>
        </w:r>
      </w:hyperlink>
      <w:r w:rsidRPr="00A25198">
        <w:rPr>
          <w:rFonts w:ascii="Poppins" w:hAnsi="Poppins" w:cs="Poppins"/>
          <w:sz w:val="20"/>
          <w:szCs w:val="20"/>
        </w:rPr>
        <w:t xml:space="preserve"> a major new commitment to create a Digital Health Ecosystem in collaboration with the private health technology sector. This effort aims to address key challenges in healthcare technology identified by CMS: complexity, high costs, and fragmentation. Its broad goals are to expand access to innovative health technology, empower Medicare beneficiaries with personalized tools and data, and </w:t>
      </w:r>
      <w:r w:rsidRPr="00A25198">
        <w:rPr>
          <w:rFonts w:ascii="Poppins" w:hAnsi="Poppins" w:cs="Poppins"/>
          <w:sz w:val="20"/>
          <w:szCs w:val="20"/>
        </w:rPr>
        <w:lastRenderedPageBreak/>
        <w:t>reduce administrative burden and improve outcomes through secure, interoperable solutions.</w:t>
      </w:r>
      <w:r w:rsidRPr="00A25198">
        <w:rPr>
          <w:rFonts w:ascii="Poppins" w:hAnsi="Poppins" w:cs="Poppins"/>
          <w:sz w:val="20"/>
          <w:szCs w:val="20"/>
        </w:rPr>
        <w:br/>
        <w:t>Notable commitments include the CMS-lead creation of a National Provider Directory to improve the accuracy and organization of provider information, a modern digital identity system for Medicare.gov to streamline user accounts, and trusted Exchange and CMS-Aligned Networks to share health data securely. CMS and collaborators also plan to develop patient tools for chronic care management, digital check-in tools to replace paper forms, and conversational AI assistants to help patients check symptoms, navigate care, and schedule appointments.</w:t>
      </w:r>
      <w:r w:rsidRPr="00A25198">
        <w:rPr>
          <w:rFonts w:ascii="Poppins" w:hAnsi="Poppins" w:cs="Poppins"/>
          <w:sz w:val="20"/>
          <w:szCs w:val="20"/>
        </w:rPr>
        <w:br/>
        <w:t>This announcement was made during the White House “Make Health Tech Great Again” event, which builds on the </w:t>
      </w:r>
      <w:hyperlink r:id="rId20" w:tooltip="https://healthsperien.us19.list-manage.com/track/click?u=b80803827ec1d826bd16eace6&amp;id=2121b4f1a1&amp;e=02f9a79650" w:history="1">
        <w:r w:rsidRPr="00A25198">
          <w:rPr>
            <w:rStyle w:val="Hyperlink"/>
            <w:rFonts w:ascii="Poppins" w:hAnsi="Poppins" w:cs="Poppins"/>
            <w:sz w:val="20"/>
            <w:szCs w:val="20"/>
          </w:rPr>
          <w:t>May 2025 Request for Information (RFI)</w:t>
        </w:r>
      </w:hyperlink>
      <w:r w:rsidRPr="00A25198">
        <w:rPr>
          <w:rFonts w:ascii="Poppins" w:hAnsi="Poppins" w:cs="Poppins"/>
          <w:sz w:val="20"/>
          <w:szCs w:val="20"/>
        </w:rPr>
        <w:t> from CMS and the Assistant Secretary for Technology Policy (ASTP), seeking input on modernizing the nation’s digital health ecosystem.</w:t>
      </w:r>
    </w:p>
    <w:p w14:paraId="4D960EB1" w14:textId="77777777" w:rsidR="00240B8D" w:rsidRDefault="00240B8D" w:rsidP="00A01AF7">
      <w:pPr>
        <w:spacing w:before="200" w:line="240" w:lineRule="auto"/>
        <w:rPr>
          <w:rFonts w:ascii="Poppins SemiBold" w:hAnsi="Poppins SemiBold" w:cs="Poppins SemiBold"/>
          <w:b/>
          <w:bCs/>
          <w:color w:val="4472C4" w:themeColor="accent1"/>
          <w:sz w:val="32"/>
          <w:szCs w:val="32"/>
        </w:rPr>
      </w:pPr>
      <w:r>
        <w:rPr>
          <w:rFonts w:ascii="Poppins SemiBold" w:hAnsi="Poppins SemiBold" w:cs="Poppins SemiBold"/>
          <w:b/>
          <w:bCs/>
          <w:color w:val="4472C4" w:themeColor="accent1"/>
          <w:sz w:val="32"/>
          <w:szCs w:val="32"/>
        </w:rPr>
        <w:t>What’s on Tap</w:t>
      </w:r>
    </w:p>
    <w:p w14:paraId="531AD862" w14:textId="639CC763" w:rsidR="00C37106" w:rsidRPr="00C37106" w:rsidRDefault="00C37106" w:rsidP="00A01AF7">
      <w:pPr>
        <w:spacing w:before="200" w:line="240" w:lineRule="auto"/>
        <w:rPr>
          <w:rFonts w:ascii="Poppins" w:hAnsi="Poppins" w:cs="Poppins"/>
          <w:sz w:val="20"/>
          <w:szCs w:val="20"/>
        </w:rPr>
      </w:pPr>
      <w:r>
        <w:rPr>
          <w:rFonts w:ascii="Poppins" w:hAnsi="Poppins" w:cs="Poppins"/>
          <w:sz w:val="20"/>
          <w:szCs w:val="20"/>
        </w:rPr>
        <w:t xml:space="preserve">Last week, </w:t>
      </w:r>
      <w:r w:rsidRPr="00C37106">
        <w:rPr>
          <w:rFonts w:ascii="Poppins" w:hAnsi="Poppins" w:cs="Poppins"/>
          <w:sz w:val="20"/>
          <w:szCs w:val="20"/>
        </w:rPr>
        <w:t xml:space="preserve">President Trump </w:t>
      </w:r>
      <w:hyperlink r:id="rId21" w:tooltip="https://healthsperien.us19.list-manage.com/track/click?u=b80803827ec1d826bd16eace6&amp;id=60c7f704af&amp;e=02f9a79650" w:history="1">
        <w:r w:rsidRPr="00C37106">
          <w:rPr>
            <w:rStyle w:val="Hyperlink"/>
            <w:rFonts w:ascii="Poppins" w:hAnsi="Poppins" w:cs="Poppins"/>
            <w:sz w:val="20"/>
            <w:szCs w:val="20"/>
          </w:rPr>
          <w:t>sent letters</w:t>
        </w:r>
      </w:hyperlink>
      <w:r w:rsidRPr="00C37106">
        <w:rPr>
          <w:rFonts w:ascii="Poppins" w:hAnsi="Poppins" w:cs="Poppins"/>
          <w:sz w:val="20"/>
          <w:szCs w:val="20"/>
        </w:rPr>
        <w:t> to 17 drug manufacturers asking the firms to make their portfolio of drugs available to Medicaid patients at prices comparable to those in other high-income countries</w:t>
      </w:r>
      <w:r w:rsidR="00095630">
        <w:rPr>
          <w:rFonts w:ascii="Poppins" w:hAnsi="Poppins" w:cs="Poppins"/>
          <w:sz w:val="20"/>
          <w:szCs w:val="20"/>
        </w:rPr>
        <w:t>,</w:t>
      </w:r>
      <w:r w:rsidRPr="00C37106">
        <w:rPr>
          <w:rFonts w:ascii="Poppins" w:hAnsi="Poppins" w:cs="Poppins"/>
          <w:sz w:val="20"/>
          <w:szCs w:val="20"/>
        </w:rPr>
        <w:t xml:space="preserve"> ensure new drugs are offered to Medicare, Medicaid, and commercial insurers at these reduced prices</w:t>
      </w:r>
      <w:r w:rsidR="00095630">
        <w:rPr>
          <w:rFonts w:ascii="Poppins" w:hAnsi="Poppins" w:cs="Poppins"/>
          <w:sz w:val="20"/>
          <w:szCs w:val="20"/>
        </w:rPr>
        <w:t>,</w:t>
      </w:r>
      <w:r w:rsidRPr="00C37106">
        <w:rPr>
          <w:rFonts w:ascii="Poppins" w:hAnsi="Poppins" w:cs="Poppins"/>
          <w:sz w:val="20"/>
          <w:szCs w:val="20"/>
        </w:rPr>
        <w:t xml:space="preserve"> adopt direct-to-consumer distribution models for high-volume drugs with significant rebates</w:t>
      </w:r>
      <w:r w:rsidR="00095630">
        <w:rPr>
          <w:rFonts w:ascii="Poppins" w:hAnsi="Poppins" w:cs="Poppins"/>
          <w:sz w:val="20"/>
          <w:szCs w:val="20"/>
        </w:rPr>
        <w:t>,</w:t>
      </w:r>
      <w:r w:rsidRPr="00C37106">
        <w:rPr>
          <w:rFonts w:ascii="Poppins" w:hAnsi="Poppins" w:cs="Poppins"/>
          <w:sz w:val="20"/>
          <w:szCs w:val="20"/>
        </w:rPr>
        <w:t xml:space="preserve"> and return a greater share of overseas profits to the United States. The Trump Administration has been a proponent of the most</w:t>
      </w:r>
      <w:r w:rsidR="009955D3">
        <w:rPr>
          <w:rFonts w:ascii="Poppins" w:hAnsi="Poppins" w:cs="Poppins"/>
          <w:sz w:val="20"/>
          <w:szCs w:val="20"/>
        </w:rPr>
        <w:t xml:space="preserve"> </w:t>
      </w:r>
      <w:r w:rsidRPr="00C37106">
        <w:rPr>
          <w:rFonts w:ascii="Poppins" w:hAnsi="Poppins" w:cs="Poppins"/>
          <w:sz w:val="20"/>
          <w:szCs w:val="20"/>
        </w:rPr>
        <w:t>favored nation</w:t>
      </w:r>
      <w:r w:rsidR="009955D3">
        <w:rPr>
          <w:rFonts w:ascii="Poppins" w:hAnsi="Poppins" w:cs="Poppins"/>
          <w:sz w:val="20"/>
          <w:szCs w:val="20"/>
        </w:rPr>
        <w:t xml:space="preserve"> (MFN)</w:t>
      </w:r>
      <w:r w:rsidRPr="00C37106">
        <w:rPr>
          <w:rFonts w:ascii="Poppins" w:hAnsi="Poppins" w:cs="Poppins"/>
          <w:sz w:val="20"/>
          <w:szCs w:val="20"/>
        </w:rPr>
        <w:t xml:space="preserve"> drug pricing plan since Trump’s first term and recently renewed efforts on this front </w:t>
      </w:r>
      <w:r w:rsidR="009531CF">
        <w:rPr>
          <w:rFonts w:ascii="Poppins" w:hAnsi="Poppins" w:cs="Poppins"/>
          <w:sz w:val="20"/>
          <w:szCs w:val="20"/>
        </w:rPr>
        <w:t>in</w:t>
      </w:r>
      <w:r w:rsidRPr="00C37106">
        <w:rPr>
          <w:rFonts w:ascii="Poppins" w:hAnsi="Poppins" w:cs="Poppins"/>
          <w:sz w:val="20"/>
          <w:szCs w:val="20"/>
        </w:rPr>
        <w:t xml:space="preserve"> an </w:t>
      </w:r>
      <w:hyperlink r:id="rId22" w:tooltip="https://healthsperien.us19.list-manage.com/track/click?u=b80803827ec1d826bd16eace6&amp;id=64ce902616&amp;e=02f9a79650" w:history="1">
        <w:r w:rsidRPr="00C37106">
          <w:rPr>
            <w:rStyle w:val="Hyperlink"/>
            <w:rFonts w:ascii="Poppins" w:hAnsi="Poppins" w:cs="Poppins"/>
            <w:sz w:val="20"/>
            <w:szCs w:val="20"/>
          </w:rPr>
          <w:t>executive order</w:t>
        </w:r>
      </w:hyperlink>
      <w:r w:rsidRPr="00C37106">
        <w:rPr>
          <w:rFonts w:ascii="Poppins" w:hAnsi="Poppins" w:cs="Poppins"/>
          <w:sz w:val="20"/>
          <w:szCs w:val="20"/>
        </w:rPr>
        <w:t> in May. Pharmaceutical companies have argued that outside of the initial guidance instructing them to set their U.S. drug prices at the same level as other developed nations, there has been little direction given to comply with the directive. Notably, the President did not mention the </w:t>
      </w:r>
      <w:hyperlink r:id="rId23" w:tooltip="https://healthsperien.us19.list-manage.com/track/click?u=b80803827ec1d826bd16eace6&amp;id=4ad50e429a&amp;e=02f9a79650" w:history="1">
        <w:r w:rsidR="002252E1">
          <w:rPr>
            <w:rStyle w:val="Hyperlink"/>
            <w:rFonts w:ascii="Poppins" w:hAnsi="Poppins" w:cs="Poppins"/>
            <w:sz w:val="20"/>
            <w:szCs w:val="20"/>
          </w:rPr>
          <w:t>Medicare Drug Price Negotiation Program</w:t>
        </w:r>
      </w:hyperlink>
      <w:r w:rsidR="002252E1">
        <w:rPr>
          <w:rFonts w:ascii="Poppins" w:hAnsi="Poppins" w:cs="Poppins"/>
          <w:sz w:val="20"/>
          <w:szCs w:val="20"/>
        </w:rPr>
        <w:t xml:space="preserve"> (DPNP)</w:t>
      </w:r>
      <w:r w:rsidRPr="00C37106">
        <w:rPr>
          <w:rFonts w:ascii="Poppins" w:hAnsi="Poppins" w:cs="Poppins"/>
          <w:sz w:val="20"/>
          <w:szCs w:val="20"/>
        </w:rPr>
        <w:t xml:space="preserve"> in his communications with manufacturers, which was a staple of the Biden Administration. President Trump’s letters call on drug companies to </w:t>
      </w:r>
      <w:proofErr w:type="gramStart"/>
      <w:r w:rsidRPr="00C37106">
        <w:rPr>
          <w:rFonts w:ascii="Poppins" w:hAnsi="Poppins" w:cs="Poppins"/>
          <w:sz w:val="20"/>
          <w:szCs w:val="20"/>
        </w:rPr>
        <w:t>take action</w:t>
      </w:r>
      <w:proofErr w:type="gramEnd"/>
      <w:r w:rsidRPr="00C37106">
        <w:rPr>
          <w:rFonts w:ascii="Poppins" w:hAnsi="Poppins" w:cs="Poppins"/>
          <w:sz w:val="20"/>
          <w:szCs w:val="20"/>
        </w:rPr>
        <w:t xml:space="preserve"> by September 29</w:t>
      </w:r>
      <w:r w:rsidRPr="00C37106">
        <w:rPr>
          <w:rFonts w:ascii="Poppins" w:hAnsi="Poppins" w:cs="Poppins"/>
          <w:sz w:val="20"/>
          <w:szCs w:val="20"/>
          <w:vertAlign w:val="superscript"/>
        </w:rPr>
        <w:t>th</w:t>
      </w:r>
      <w:r w:rsidRPr="00C37106">
        <w:rPr>
          <w:rFonts w:ascii="Poppins" w:hAnsi="Poppins" w:cs="Poppins"/>
          <w:sz w:val="20"/>
          <w:szCs w:val="20"/>
        </w:rPr>
        <w:t xml:space="preserve">, although it is unclear what the repercussions of noncompliance would be. The White House has been toying with pharmaceutical tariffs for several months now, which this letter could be teeing up </w:t>
      </w:r>
      <w:proofErr w:type="gramStart"/>
      <w:r w:rsidRPr="00C37106">
        <w:rPr>
          <w:rFonts w:ascii="Poppins" w:hAnsi="Poppins" w:cs="Poppins"/>
          <w:sz w:val="20"/>
          <w:szCs w:val="20"/>
        </w:rPr>
        <w:t>in the</w:t>
      </w:r>
      <w:r w:rsidR="00127257">
        <w:rPr>
          <w:rFonts w:ascii="Poppins" w:hAnsi="Poppins" w:cs="Poppins"/>
          <w:sz w:val="20"/>
          <w:szCs w:val="20"/>
        </w:rPr>
        <w:t xml:space="preserve"> near</w:t>
      </w:r>
      <w:r w:rsidRPr="00C37106">
        <w:rPr>
          <w:rFonts w:ascii="Poppins" w:hAnsi="Poppins" w:cs="Poppins"/>
          <w:sz w:val="20"/>
          <w:szCs w:val="20"/>
        </w:rPr>
        <w:t xml:space="preserve"> future</w:t>
      </w:r>
      <w:proofErr w:type="gramEnd"/>
      <w:r w:rsidRPr="00C37106">
        <w:rPr>
          <w:rFonts w:ascii="Poppins" w:hAnsi="Poppins" w:cs="Poppins"/>
          <w:sz w:val="20"/>
          <w:szCs w:val="20"/>
        </w:rPr>
        <w:t>.</w:t>
      </w:r>
    </w:p>
    <w:p w14:paraId="47EC0D6E" w14:textId="54592DF3" w:rsidR="00C37106" w:rsidRPr="00C37106" w:rsidRDefault="00C37106" w:rsidP="00A01AF7">
      <w:pPr>
        <w:spacing w:before="200" w:line="240" w:lineRule="auto"/>
        <w:rPr>
          <w:rFonts w:ascii="Poppins" w:hAnsi="Poppins" w:cs="Poppins"/>
          <w:sz w:val="20"/>
          <w:szCs w:val="20"/>
        </w:rPr>
      </w:pPr>
      <w:r w:rsidRPr="00C37106">
        <w:rPr>
          <w:rFonts w:ascii="Poppins" w:hAnsi="Poppins" w:cs="Poppins"/>
          <w:sz w:val="20"/>
          <w:szCs w:val="20"/>
        </w:rPr>
        <w:t xml:space="preserve">The Senate remained in session over the weekend despite its scheduled August recess beginning at the end of </w:t>
      </w:r>
      <w:r w:rsidR="00127257">
        <w:rPr>
          <w:rFonts w:ascii="Poppins" w:hAnsi="Poppins" w:cs="Poppins"/>
          <w:sz w:val="20"/>
          <w:szCs w:val="20"/>
        </w:rPr>
        <w:t xml:space="preserve">the </w:t>
      </w:r>
      <w:r w:rsidRPr="00C37106">
        <w:rPr>
          <w:rFonts w:ascii="Poppins" w:hAnsi="Poppins" w:cs="Poppins"/>
          <w:sz w:val="20"/>
          <w:szCs w:val="20"/>
        </w:rPr>
        <w:t>last</w:t>
      </w:r>
      <w:r w:rsidR="00127257">
        <w:rPr>
          <w:rFonts w:ascii="Poppins" w:hAnsi="Poppins" w:cs="Poppins"/>
          <w:sz w:val="20"/>
          <w:szCs w:val="20"/>
        </w:rPr>
        <w:t xml:space="preserve"> business</w:t>
      </w:r>
      <w:r w:rsidRPr="00C37106">
        <w:rPr>
          <w:rFonts w:ascii="Poppins" w:hAnsi="Poppins" w:cs="Poppins"/>
          <w:sz w:val="20"/>
          <w:szCs w:val="20"/>
        </w:rPr>
        <w:t xml:space="preserve"> week. The House of Representatives, on the other hand, adjourned almost two weeks ago </w:t>
      </w:r>
      <w:proofErr w:type="gramStart"/>
      <w:r w:rsidRPr="00C37106">
        <w:rPr>
          <w:rFonts w:ascii="Poppins" w:hAnsi="Poppins" w:cs="Poppins"/>
          <w:sz w:val="20"/>
          <w:szCs w:val="20"/>
        </w:rPr>
        <w:t>at</w:t>
      </w:r>
      <w:proofErr w:type="gramEnd"/>
      <w:r w:rsidRPr="00C37106">
        <w:rPr>
          <w:rFonts w:ascii="Poppins" w:hAnsi="Poppins" w:cs="Poppins"/>
          <w:sz w:val="20"/>
          <w:szCs w:val="20"/>
        </w:rPr>
        <w:t xml:space="preserve"> the direction of Speaker</w:t>
      </w:r>
      <w:r w:rsidR="005D5ABA">
        <w:rPr>
          <w:rFonts w:ascii="Poppins" w:hAnsi="Poppins" w:cs="Poppins"/>
          <w:sz w:val="20"/>
          <w:szCs w:val="20"/>
        </w:rPr>
        <w:t xml:space="preserve"> Mike</w:t>
      </w:r>
      <w:r w:rsidRPr="00C37106">
        <w:rPr>
          <w:rFonts w:ascii="Poppins" w:hAnsi="Poppins" w:cs="Poppins"/>
          <w:sz w:val="20"/>
          <w:szCs w:val="20"/>
        </w:rPr>
        <w:t xml:space="preserve"> Johnson</w:t>
      </w:r>
      <w:r w:rsidR="005D5ABA">
        <w:rPr>
          <w:rFonts w:ascii="Poppins" w:hAnsi="Poppins" w:cs="Poppins"/>
          <w:sz w:val="20"/>
          <w:szCs w:val="20"/>
        </w:rPr>
        <w:t xml:space="preserve"> (R-LA)</w:t>
      </w:r>
      <w:r w:rsidRPr="00C37106">
        <w:rPr>
          <w:rFonts w:ascii="Poppins" w:hAnsi="Poppins" w:cs="Poppins"/>
          <w:sz w:val="20"/>
          <w:szCs w:val="20"/>
        </w:rPr>
        <w:t xml:space="preserve">. President Trump was the driving force keeping the Senate in session, pressuring Senate Majority Leader </w:t>
      </w:r>
      <w:r w:rsidR="008103FB">
        <w:rPr>
          <w:rFonts w:ascii="Poppins" w:hAnsi="Poppins" w:cs="Poppins"/>
          <w:sz w:val="20"/>
          <w:szCs w:val="20"/>
        </w:rPr>
        <w:t xml:space="preserve">John </w:t>
      </w:r>
      <w:r w:rsidRPr="00C37106">
        <w:rPr>
          <w:rFonts w:ascii="Poppins" w:hAnsi="Poppins" w:cs="Poppins"/>
          <w:sz w:val="20"/>
          <w:szCs w:val="20"/>
        </w:rPr>
        <w:t>Thune (R-SD) to keep the chamber open through the August recess to allow Republicans to push through more of the President’s nominees. The White House </w:t>
      </w:r>
      <w:hyperlink r:id="rId24" w:tooltip="https://healthsperien.us19.list-manage.com/track/click?u=b80803827ec1d826bd16eace6&amp;id=f83c6e311f&amp;e=02f9a79650" w:history="1">
        <w:r w:rsidRPr="00C37106">
          <w:rPr>
            <w:rStyle w:val="Hyperlink"/>
            <w:rFonts w:ascii="Poppins" w:hAnsi="Poppins" w:cs="Poppins"/>
            <w:sz w:val="20"/>
            <w:szCs w:val="20"/>
          </w:rPr>
          <w:t>sought to</w:t>
        </w:r>
      </w:hyperlink>
      <w:r w:rsidRPr="00C37106">
        <w:rPr>
          <w:rFonts w:ascii="Poppins" w:hAnsi="Poppins" w:cs="Poppins"/>
          <w:sz w:val="20"/>
          <w:szCs w:val="20"/>
        </w:rPr>
        <w:t xml:space="preserve"> negotiate with Democrats to expedite the process, but was unable to come to an agreement to keep the Senate in session. Senators on both sides of the aisle were eager to return to their constituents, especially given the upcoming election year for a third of the chamber. Republicans were particularly motivated to campaign back in their home states to </w:t>
      </w:r>
      <w:r w:rsidRPr="00C37106">
        <w:rPr>
          <w:rFonts w:ascii="Poppins" w:hAnsi="Poppins" w:cs="Poppins"/>
          <w:sz w:val="20"/>
          <w:szCs w:val="20"/>
        </w:rPr>
        <w:lastRenderedPageBreak/>
        <w:t>sell the passage of the </w:t>
      </w:r>
      <w:r w:rsidRPr="00C37106">
        <w:rPr>
          <w:rFonts w:ascii="Poppins" w:hAnsi="Poppins" w:cs="Poppins"/>
          <w:i/>
          <w:iCs/>
          <w:sz w:val="20"/>
          <w:szCs w:val="20"/>
        </w:rPr>
        <w:t>One Big Beautiful Bill Act</w:t>
      </w:r>
      <w:r w:rsidRPr="00C37106">
        <w:rPr>
          <w:rFonts w:ascii="Poppins" w:hAnsi="Poppins" w:cs="Poppins"/>
          <w:sz w:val="20"/>
          <w:szCs w:val="20"/>
        </w:rPr>
        <w:t xml:space="preserve">. 20 Republicans and 13 Democrats are up for reelection in the 2026 midterms, </w:t>
      </w:r>
      <w:r w:rsidR="00B61F8F">
        <w:rPr>
          <w:rFonts w:ascii="Poppins" w:hAnsi="Poppins" w:cs="Poppins"/>
          <w:sz w:val="20"/>
          <w:szCs w:val="20"/>
        </w:rPr>
        <w:t>opening the opportunity for</w:t>
      </w:r>
      <w:r w:rsidRPr="00C37106">
        <w:rPr>
          <w:rFonts w:ascii="Poppins" w:hAnsi="Poppins" w:cs="Poppins"/>
          <w:sz w:val="20"/>
          <w:szCs w:val="20"/>
        </w:rPr>
        <w:t xml:space="preserve"> a</w:t>
      </w:r>
      <w:r w:rsidR="00B61F8F">
        <w:rPr>
          <w:rFonts w:ascii="Poppins" w:hAnsi="Poppins" w:cs="Poppins"/>
          <w:sz w:val="20"/>
          <w:szCs w:val="20"/>
        </w:rPr>
        <w:t xml:space="preserve"> shift in the</w:t>
      </w:r>
      <w:r w:rsidRPr="00C37106">
        <w:rPr>
          <w:rFonts w:ascii="Poppins" w:hAnsi="Poppins" w:cs="Poppins"/>
          <w:sz w:val="20"/>
          <w:szCs w:val="20"/>
        </w:rPr>
        <w:t xml:space="preserve"> majority </w:t>
      </w:r>
      <w:r w:rsidR="00B61F8F">
        <w:rPr>
          <w:rFonts w:ascii="Poppins" w:hAnsi="Poppins" w:cs="Poppins"/>
          <w:sz w:val="20"/>
          <w:szCs w:val="20"/>
        </w:rPr>
        <w:t>party i</w:t>
      </w:r>
      <w:r w:rsidRPr="00C37106">
        <w:rPr>
          <w:rFonts w:ascii="Poppins" w:hAnsi="Poppins" w:cs="Poppins"/>
          <w:sz w:val="20"/>
          <w:szCs w:val="20"/>
        </w:rPr>
        <w:t xml:space="preserve">n control of the upper chamber </w:t>
      </w:r>
      <w:r w:rsidR="00B61F8F">
        <w:rPr>
          <w:rFonts w:ascii="Poppins" w:hAnsi="Poppins" w:cs="Poppins"/>
          <w:sz w:val="20"/>
          <w:szCs w:val="20"/>
        </w:rPr>
        <w:t>for</w:t>
      </w:r>
      <w:r w:rsidRPr="00C37106">
        <w:rPr>
          <w:rFonts w:ascii="Poppins" w:hAnsi="Poppins" w:cs="Poppins"/>
          <w:sz w:val="20"/>
          <w:szCs w:val="20"/>
        </w:rPr>
        <w:t xml:space="preserve"> the 120</w:t>
      </w:r>
      <w:r w:rsidRPr="00C37106">
        <w:rPr>
          <w:rFonts w:ascii="Poppins" w:hAnsi="Poppins" w:cs="Poppins"/>
          <w:sz w:val="20"/>
          <w:szCs w:val="20"/>
          <w:vertAlign w:val="superscript"/>
        </w:rPr>
        <w:t>th</w:t>
      </w:r>
      <w:r w:rsidRPr="00C37106">
        <w:rPr>
          <w:rFonts w:ascii="Poppins" w:hAnsi="Poppins" w:cs="Poppins"/>
          <w:sz w:val="20"/>
          <w:szCs w:val="20"/>
        </w:rPr>
        <w:t> Congress.</w:t>
      </w:r>
    </w:p>
    <w:p w14:paraId="2CCE96E8" w14:textId="77777777" w:rsidR="003E4657" w:rsidRDefault="003E4657" w:rsidP="00A01AF7">
      <w:pPr>
        <w:spacing w:before="200" w:line="240" w:lineRule="auto"/>
        <w:rPr>
          <w:rFonts w:ascii="Poppins SemiBold" w:hAnsi="Poppins SemiBold" w:cs="Poppins SemiBold"/>
          <w:b/>
          <w:bCs/>
          <w:color w:val="4472C4" w:themeColor="accent1"/>
          <w:sz w:val="32"/>
          <w:szCs w:val="32"/>
        </w:rPr>
      </w:pPr>
      <w:r>
        <w:rPr>
          <w:rFonts w:ascii="Poppins SemiBold" w:hAnsi="Poppins SemiBold" w:cs="Poppins SemiBold"/>
          <w:b/>
          <w:bCs/>
          <w:color w:val="4472C4" w:themeColor="accent1"/>
          <w:sz w:val="32"/>
          <w:szCs w:val="32"/>
        </w:rPr>
        <w:t>Upcoming Events</w:t>
      </w:r>
    </w:p>
    <w:p w14:paraId="79F8DF6A" w14:textId="77777777" w:rsidR="005E3AF3" w:rsidRPr="005E3AF3" w:rsidRDefault="005E3AF3" w:rsidP="00A01AF7">
      <w:pPr>
        <w:numPr>
          <w:ilvl w:val="0"/>
          <w:numId w:val="3"/>
        </w:numPr>
        <w:spacing w:before="200" w:after="0"/>
        <w:rPr>
          <w:rFonts w:ascii="Poppins" w:hAnsi="Poppins" w:cs="Poppins"/>
          <w:sz w:val="20"/>
          <w:szCs w:val="20"/>
        </w:rPr>
      </w:pPr>
      <w:r w:rsidRPr="005E3AF3">
        <w:rPr>
          <w:rFonts w:ascii="Poppins" w:hAnsi="Poppins" w:cs="Poppins"/>
          <w:sz w:val="20"/>
          <w:szCs w:val="20"/>
        </w:rPr>
        <w:t>Senate: Out of session</w:t>
      </w:r>
    </w:p>
    <w:p w14:paraId="1E38488B" w14:textId="77777777" w:rsidR="002C3A41" w:rsidRDefault="005E3AF3" w:rsidP="00A01AF7">
      <w:pPr>
        <w:numPr>
          <w:ilvl w:val="0"/>
          <w:numId w:val="3"/>
        </w:numPr>
        <w:spacing w:before="200" w:after="0"/>
        <w:rPr>
          <w:rFonts w:ascii="Poppins" w:hAnsi="Poppins" w:cs="Poppins"/>
          <w:sz w:val="20"/>
          <w:szCs w:val="20"/>
        </w:rPr>
      </w:pPr>
      <w:r w:rsidRPr="005E3AF3">
        <w:rPr>
          <w:rFonts w:ascii="Poppins" w:hAnsi="Poppins" w:cs="Poppins"/>
          <w:sz w:val="20"/>
          <w:szCs w:val="20"/>
        </w:rPr>
        <w:t>House: Out of session</w:t>
      </w:r>
    </w:p>
    <w:p w14:paraId="2DF047CF" w14:textId="6C4495EB" w:rsidR="00B0405D" w:rsidRPr="002C3A41" w:rsidRDefault="002C3A41" w:rsidP="00A01AF7">
      <w:pPr>
        <w:numPr>
          <w:ilvl w:val="0"/>
          <w:numId w:val="3"/>
        </w:numPr>
        <w:spacing w:before="200" w:after="0"/>
        <w:rPr>
          <w:rFonts w:ascii="Poppins" w:hAnsi="Poppins" w:cs="Poppins"/>
          <w:sz w:val="20"/>
          <w:szCs w:val="20"/>
        </w:rPr>
      </w:pPr>
      <w:r w:rsidRPr="002C3A41">
        <w:rPr>
          <w:rFonts w:ascii="Arial" w:eastAsia="Times New Roman" w:hAnsi="Arial" w:cs="Arial"/>
          <w:i/>
          <w:iCs/>
          <w:color w:val="222222"/>
          <w:kern w:val="0"/>
          <w:sz w:val="21"/>
          <w:szCs w:val="21"/>
          <w:bdr w:val="none" w:sz="0" w:space="0" w:color="auto" w:frame="1"/>
          <w14:ligatures w14:val="none"/>
        </w:rPr>
        <w:t>Regular congressional activity will likely resume following the August recess on September 2</w:t>
      </w:r>
      <w:r w:rsidRPr="002C3A41">
        <w:rPr>
          <w:rFonts w:ascii="Arial" w:eastAsia="Times New Roman" w:hAnsi="Arial" w:cs="Arial"/>
          <w:i/>
          <w:iCs/>
          <w:color w:val="222222"/>
          <w:kern w:val="0"/>
          <w:sz w:val="21"/>
          <w:szCs w:val="21"/>
          <w:bdr w:val="none" w:sz="0" w:space="0" w:color="auto" w:frame="1"/>
          <w:vertAlign w:val="superscript"/>
          <w14:ligatures w14:val="none"/>
        </w:rPr>
        <w:t>nd</w:t>
      </w:r>
    </w:p>
    <w:sectPr w:rsidR="00B0405D" w:rsidRPr="002C3A41">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5C8BA" w14:textId="77777777" w:rsidR="00530CEA" w:rsidRDefault="00530CEA" w:rsidP="00715EA6">
      <w:pPr>
        <w:spacing w:after="0" w:line="240" w:lineRule="auto"/>
      </w:pPr>
      <w:r>
        <w:separator/>
      </w:r>
    </w:p>
  </w:endnote>
  <w:endnote w:type="continuationSeparator" w:id="0">
    <w:p w14:paraId="5B61A5C7" w14:textId="77777777" w:rsidR="00530CEA" w:rsidRDefault="00530CEA" w:rsidP="00715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oppins SemiBold">
    <w:charset w:val="00"/>
    <w:family w:val="auto"/>
    <w:pitch w:val="variable"/>
    <w:sig w:usb0="00008007" w:usb1="00000000" w:usb2="00000000" w:usb3="00000000" w:csb0="00000093"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B65A3" w14:textId="5A4EB9C7" w:rsidR="00715EA6" w:rsidRDefault="00715EA6">
    <w:pPr>
      <w:pStyle w:val="Footer"/>
    </w:pPr>
    <w:r>
      <w:rPr>
        <w:noProof/>
      </w:rPr>
      <mc:AlternateContent>
        <mc:Choice Requires="wps">
          <w:drawing>
            <wp:anchor distT="0" distB="0" distL="114300" distR="114300" simplePos="0" relativeHeight="251659264" behindDoc="0" locked="0" layoutInCell="1" allowOverlap="1" wp14:anchorId="1939F78A" wp14:editId="3934B82D">
              <wp:simplePos x="0" y="0"/>
              <wp:positionH relativeFrom="column">
                <wp:posOffset>-901700</wp:posOffset>
              </wp:positionH>
              <wp:positionV relativeFrom="paragraph">
                <wp:posOffset>215900</wp:posOffset>
              </wp:positionV>
              <wp:extent cx="7894320" cy="388620"/>
              <wp:effectExtent l="0" t="0" r="0" b="0"/>
              <wp:wrapNone/>
              <wp:docPr id="1658646027" name="Rectangle 2"/>
              <wp:cNvGraphicFramePr/>
              <a:graphic xmlns:a="http://schemas.openxmlformats.org/drawingml/2006/main">
                <a:graphicData uri="http://schemas.microsoft.com/office/word/2010/wordprocessingShape">
                  <wps:wsp>
                    <wps:cNvSpPr/>
                    <wps:spPr>
                      <a:xfrm>
                        <a:off x="0" y="0"/>
                        <a:ext cx="7894320" cy="388620"/>
                      </a:xfrm>
                      <a:prstGeom prst="rect">
                        <a:avLst/>
                      </a:prstGeom>
                      <a:solidFill>
                        <a:srgbClr val="0E6EB6">
                          <a:alpha val="6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CFD1BEE" w14:textId="77777777" w:rsidR="00715EA6" w:rsidRPr="00715EA6" w:rsidRDefault="00715EA6" w:rsidP="00715EA6">
                          <w:pPr>
                            <w:jc w:val="center"/>
                            <w:rPr>
                              <w:rFonts w:ascii="Poppins" w:hAnsi="Poppins" w:cs="Poppins"/>
                              <w:sz w:val="24"/>
                              <w:szCs w:val="24"/>
                            </w:rPr>
                          </w:pPr>
                          <w:r w:rsidRPr="00715EA6">
                            <w:rPr>
                              <w:rFonts w:ascii="Poppins" w:hAnsi="Poppins" w:cs="Poppins"/>
                              <w:sz w:val="24"/>
                              <w:szCs w:val="24"/>
                            </w:rPr>
                            <w:t>www.specialneedsalliance.org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9F78A" id="Rectangle 2" o:spid="_x0000_s1026" style="position:absolute;margin-left:-71pt;margin-top:17pt;width:621.6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" fillcolor="#0e6eb6" stroked="f" strokeweight="1pt">
              <v:fill opacity="39321f"/>
              <v:textbox>
                <w:txbxContent>
                  <w:p w14:paraId="7CFD1BEE" w14:textId="77777777" w:rsidR="00715EA6" w:rsidRPr="00715EA6" w:rsidRDefault="00715EA6" w:rsidP="00715EA6">
                    <w:pPr>
                      <w:jc w:val="center"/>
                      <w:rPr>
                        <w:rFonts w:ascii="Poppins" w:hAnsi="Poppins" w:cs="Poppins"/>
                        <w:sz w:val="24"/>
                        <w:szCs w:val="24"/>
                      </w:rPr>
                    </w:pPr>
                    <w:r w:rsidRPr="00715EA6">
                      <w:rPr>
                        <w:rFonts w:ascii="Poppins" w:hAnsi="Poppins" w:cs="Poppins"/>
                        <w:sz w:val="24"/>
                        <w:szCs w:val="24"/>
                      </w:rPr>
                      <w:t>www.specialneedsalliance.org</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63C84" w14:textId="77777777" w:rsidR="00530CEA" w:rsidRDefault="00530CEA" w:rsidP="00715EA6">
      <w:pPr>
        <w:spacing w:after="0" w:line="240" w:lineRule="auto"/>
      </w:pPr>
      <w:r>
        <w:separator/>
      </w:r>
    </w:p>
  </w:footnote>
  <w:footnote w:type="continuationSeparator" w:id="0">
    <w:p w14:paraId="31B98AB9" w14:textId="77777777" w:rsidR="00530CEA" w:rsidRDefault="00530CEA" w:rsidP="00715E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C39FC"/>
    <w:multiLevelType w:val="multilevel"/>
    <w:tmpl w:val="71F41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2200D5"/>
    <w:multiLevelType w:val="multilevel"/>
    <w:tmpl w:val="125E0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7B70FB"/>
    <w:multiLevelType w:val="multilevel"/>
    <w:tmpl w:val="5404B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DD3B29"/>
    <w:multiLevelType w:val="multilevel"/>
    <w:tmpl w:val="C834F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004C70"/>
    <w:multiLevelType w:val="multilevel"/>
    <w:tmpl w:val="4FEE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2373E0"/>
    <w:multiLevelType w:val="multilevel"/>
    <w:tmpl w:val="3706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7318833">
    <w:abstractNumId w:val="5"/>
  </w:num>
  <w:num w:numId="2" w16cid:durableId="1750274782">
    <w:abstractNumId w:val="4"/>
  </w:num>
  <w:num w:numId="3" w16cid:durableId="534511944">
    <w:abstractNumId w:val="0"/>
  </w:num>
  <w:num w:numId="4" w16cid:durableId="1028720949">
    <w:abstractNumId w:val="1"/>
  </w:num>
  <w:num w:numId="5" w16cid:durableId="1718507751">
    <w:abstractNumId w:val="3"/>
  </w:num>
  <w:num w:numId="6" w16cid:durableId="10100656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E4D"/>
    <w:rsid w:val="00040849"/>
    <w:rsid w:val="00067BD7"/>
    <w:rsid w:val="00095630"/>
    <w:rsid w:val="000B1C5B"/>
    <w:rsid w:val="000C2216"/>
    <w:rsid w:val="000F27E9"/>
    <w:rsid w:val="00116C7A"/>
    <w:rsid w:val="00125D4B"/>
    <w:rsid w:val="00127257"/>
    <w:rsid w:val="00140A74"/>
    <w:rsid w:val="00185FA8"/>
    <w:rsid w:val="001B41B2"/>
    <w:rsid w:val="001E033A"/>
    <w:rsid w:val="001E7568"/>
    <w:rsid w:val="002067A8"/>
    <w:rsid w:val="002252E1"/>
    <w:rsid w:val="00236A3B"/>
    <w:rsid w:val="00240B8D"/>
    <w:rsid w:val="002A0796"/>
    <w:rsid w:val="002C3A41"/>
    <w:rsid w:val="00307DA2"/>
    <w:rsid w:val="003525A9"/>
    <w:rsid w:val="003537BE"/>
    <w:rsid w:val="003E4657"/>
    <w:rsid w:val="003F6DE9"/>
    <w:rsid w:val="0041377C"/>
    <w:rsid w:val="004616F6"/>
    <w:rsid w:val="004F23F4"/>
    <w:rsid w:val="004F6F38"/>
    <w:rsid w:val="004F71B2"/>
    <w:rsid w:val="00520875"/>
    <w:rsid w:val="00530CEA"/>
    <w:rsid w:val="0053438E"/>
    <w:rsid w:val="00583599"/>
    <w:rsid w:val="005C22C8"/>
    <w:rsid w:val="005D5ABA"/>
    <w:rsid w:val="005E3AF3"/>
    <w:rsid w:val="005F04BF"/>
    <w:rsid w:val="00636828"/>
    <w:rsid w:val="006725FE"/>
    <w:rsid w:val="00676E4B"/>
    <w:rsid w:val="006A6BFA"/>
    <w:rsid w:val="006C4838"/>
    <w:rsid w:val="006E7776"/>
    <w:rsid w:val="00700615"/>
    <w:rsid w:val="00715EA6"/>
    <w:rsid w:val="007242EA"/>
    <w:rsid w:val="00726BFB"/>
    <w:rsid w:val="00751BEF"/>
    <w:rsid w:val="007A61C5"/>
    <w:rsid w:val="008103FB"/>
    <w:rsid w:val="00821954"/>
    <w:rsid w:val="00825558"/>
    <w:rsid w:val="00862612"/>
    <w:rsid w:val="00870AE5"/>
    <w:rsid w:val="008D009D"/>
    <w:rsid w:val="00944B2D"/>
    <w:rsid w:val="009472B2"/>
    <w:rsid w:val="009531CF"/>
    <w:rsid w:val="0097202C"/>
    <w:rsid w:val="009819D4"/>
    <w:rsid w:val="009955D3"/>
    <w:rsid w:val="00A01AF7"/>
    <w:rsid w:val="00A25198"/>
    <w:rsid w:val="00A42EC7"/>
    <w:rsid w:val="00A70507"/>
    <w:rsid w:val="00A7138F"/>
    <w:rsid w:val="00A76DD2"/>
    <w:rsid w:val="00AB0B1A"/>
    <w:rsid w:val="00AB6912"/>
    <w:rsid w:val="00B0405D"/>
    <w:rsid w:val="00B232EA"/>
    <w:rsid w:val="00B26D5B"/>
    <w:rsid w:val="00B61F8F"/>
    <w:rsid w:val="00B8214D"/>
    <w:rsid w:val="00B92207"/>
    <w:rsid w:val="00BB55C9"/>
    <w:rsid w:val="00C37106"/>
    <w:rsid w:val="00C46C3F"/>
    <w:rsid w:val="00C6341F"/>
    <w:rsid w:val="00C76688"/>
    <w:rsid w:val="00C76CBE"/>
    <w:rsid w:val="00CA040E"/>
    <w:rsid w:val="00CF006A"/>
    <w:rsid w:val="00CF7E5D"/>
    <w:rsid w:val="00D173B8"/>
    <w:rsid w:val="00D40CD9"/>
    <w:rsid w:val="00D421A1"/>
    <w:rsid w:val="00D822AC"/>
    <w:rsid w:val="00DB3B98"/>
    <w:rsid w:val="00DD1B9C"/>
    <w:rsid w:val="00DE3D45"/>
    <w:rsid w:val="00E30E4D"/>
    <w:rsid w:val="00E81A15"/>
    <w:rsid w:val="00EB40E9"/>
    <w:rsid w:val="00ED29F3"/>
    <w:rsid w:val="00ED6818"/>
    <w:rsid w:val="00EE11BE"/>
    <w:rsid w:val="00F06644"/>
    <w:rsid w:val="00F1055E"/>
    <w:rsid w:val="00F448DC"/>
    <w:rsid w:val="00F4590B"/>
    <w:rsid w:val="00F57DAE"/>
    <w:rsid w:val="00F84A41"/>
    <w:rsid w:val="00F97FFA"/>
    <w:rsid w:val="00FC4B65"/>
    <w:rsid w:val="00FF68C3"/>
    <w:rsid w:val="2565C836"/>
    <w:rsid w:val="3DD66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04110"/>
  <w15:chartTrackingRefBased/>
  <w15:docId w15:val="{9E1258A4-187B-4729-A133-579304EC8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0E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30E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30E4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30E4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30E4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30E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0E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0E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0E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E4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30E4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30E4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30E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30E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30E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0E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0E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0E4D"/>
    <w:rPr>
      <w:rFonts w:eastAsiaTheme="majorEastAsia" w:cstheme="majorBidi"/>
      <w:color w:val="272727" w:themeColor="text1" w:themeTint="D8"/>
    </w:rPr>
  </w:style>
  <w:style w:type="paragraph" w:styleId="Title">
    <w:name w:val="Title"/>
    <w:basedOn w:val="Normal"/>
    <w:next w:val="Normal"/>
    <w:link w:val="TitleChar"/>
    <w:uiPriority w:val="10"/>
    <w:qFormat/>
    <w:rsid w:val="00E30E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0E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0E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0E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0E4D"/>
    <w:pPr>
      <w:spacing w:before="160"/>
      <w:jc w:val="center"/>
    </w:pPr>
    <w:rPr>
      <w:i/>
      <w:iCs/>
      <w:color w:val="404040" w:themeColor="text1" w:themeTint="BF"/>
    </w:rPr>
  </w:style>
  <w:style w:type="character" w:customStyle="1" w:styleId="QuoteChar">
    <w:name w:val="Quote Char"/>
    <w:basedOn w:val="DefaultParagraphFont"/>
    <w:link w:val="Quote"/>
    <w:uiPriority w:val="29"/>
    <w:rsid w:val="00E30E4D"/>
    <w:rPr>
      <w:i/>
      <w:iCs/>
      <w:color w:val="404040" w:themeColor="text1" w:themeTint="BF"/>
    </w:rPr>
  </w:style>
  <w:style w:type="paragraph" w:styleId="ListParagraph">
    <w:name w:val="List Paragraph"/>
    <w:basedOn w:val="Normal"/>
    <w:uiPriority w:val="34"/>
    <w:qFormat/>
    <w:rsid w:val="00E30E4D"/>
    <w:pPr>
      <w:ind w:left="720"/>
      <w:contextualSpacing/>
    </w:pPr>
  </w:style>
  <w:style w:type="character" w:styleId="IntenseEmphasis">
    <w:name w:val="Intense Emphasis"/>
    <w:basedOn w:val="DefaultParagraphFont"/>
    <w:uiPriority w:val="21"/>
    <w:qFormat/>
    <w:rsid w:val="00E30E4D"/>
    <w:rPr>
      <w:i/>
      <w:iCs/>
      <w:color w:val="2F5496" w:themeColor="accent1" w:themeShade="BF"/>
    </w:rPr>
  </w:style>
  <w:style w:type="paragraph" w:styleId="IntenseQuote">
    <w:name w:val="Intense Quote"/>
    <w:basedOn w:val="Normal"/>
    <w:next w:val="Normal"/>
    <w:link w:val="IntenseQuoteChar"/>
    <w:uiPriority w:val="30"/>
    <w:qFormat/>
    <w:rsid w:val="00E30E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30E4D"/>
    <w:rPr>
      <w:i/>
      <w:iCs/>
      <w:color w:val="2F5496" w:themeColor="accent1" w:themeShade="BF"/>
    </w:rPr>
  </w:style>
  <w:style w:type="character" w:styleId="IntenseReference">
    <w:name w:val="Intense Reference"/>
    <w:basedOn w:val="DefaultParagraphFont"/>
    <w:uiPriority w:val="32"/>
    <w:qFormat/>
    <w:rsid w:val="00E30E4D"/>
    <w:rPr>
      <w:b/>
      <w:bCs/>
      <w:smallCaps/>
      <w:color w:val="2F5496" w:themeColor="accent1" w:themeShade="BF"/>
      <w:spacing w:val="5"/>
    </w:rPr>
  </w:style>
  <w:style w:type="paragraph" w:styleId="Header">
    <w:name w:val="header"/>
    <w:basedOn w:val="Normal"/>
    <w:link w:val="HeaderChar"/>
    <w:uiPriority w:val="99"/>
    <w:unhideWhenUsed/>
    <w:rsid w:val="00715E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5EA6"/>
  </w:style>
  <w:style w:type="paragraph" w:styleId="Footer">
    <w:name w:val="footer"/>
    <w:basedOn w:val="Normal"/>
    <w:link w:val="FooterChar"/>
    <w:uiPriority w:val="99"/>
    <w:unhideWhenUsed/>
    <w:rsid w:val="00715E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5EA6"/>
  </w:style>
  <w:style w:type="character" w:styleId="Hyperlink">
    <w:name w:val="Hyperlink"/>
    <w:basedOn w:val="DefaultParagraphFont"/>
    <w:uiPriority w:val="99"/>
    <w:unhideWhenUsed/>
    <w:rsid w:val="00715EA6"/>
    <w:rPr>
      <w:color w:val="0563C1" w:themeColor="hyperlink"/>
      <w:u w:val="single"/>
    </w:rPr>
  </w:style>
  <w:style w:type="character" w:styleId="FollowedHyperlink">
    <w:name w:val="FollowedHyperlink"/>
    <w:basedOn w:val="DefaultParagraphFont"/>
    <w:uiPriority w:val="99"/>
    <w:semiHidden/>
    <w:unhideWhenUsed/>
    <w:rsid w:val="00715EA6"/>
    <w:rPr>
      <w:color w:val="954F72" w:themeColor="followedHyperlink"/>
      <w:u w:val="single"/>
    </w:rPr>
  </w:style>
  <w:style w:type="character" w:styleId="UnresolvedMention">
    <w:name w:val="Unresolved Mention"/>
    <w:basedOn w:val="DefaultParagraphFont"/>
    <w:uiPriority w:val="99"/>
    <w:semiHidden/>
    <w:unhideWhenUsed/>
    <w:rsid w:val="00140A74"/>
    <w:rPr>
      <w:color w:val="605E5C"/>
      <w:shd w:val="clear" w:color="auto" w:fill="E1DFDD"/>
    </w:rPr>
  </w:style>
  <w:style w:type="character" w:styleId="Emphasis">
    <w:name w:val="Emphasis"/>
    <w:basedOn w:val="DefaultParagraphFont"/>
    <w:uiPriority w:val="20"/>
    <w:qFormat/>
    <w:rsid w:val="002C3A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000060">
      <w:bodyDiv w:val="1"/>
      <w:marLeft w:val="0"/>
      <w:marRight w:val="0"/>
      <w:marTop w:val="0"/>
      <w:marBottom w:val="0"/>
      <w:divBdr>
        <w:top w:val="none" w:sz="0" w:space="0" w:color="auto"/>
        <w:left w:val="none" w:sz="0" w:space="0" w:color="auto"/>
        <w:bottom w:val="none" w:sz="0" w:space="0" w:color="auto"/>
        <w:right w:val="none" w:sz="0" w:space="0" w:color="auto"/>
      </w:divBdr>
    </w:div>
    <w:div w:id="283736117">
      <w:bodyDiv w:val="1"/>
      <w:marLeft w:val="0"/>
      <w:marRight w:val="0"/>
      <w:marTop w:val="0"/>
      <w:marBottom w:val="0"/>
      <w:divBdr>
        <w:top w:val="none" w:sz="0" w:space="0" w:color="auto"/>
        <w:left w:val="none" w:sz="0" w:space="0" w:color="auto"/>
        <w:bottom w:val="none" w:sz="0" w:space="0" w:color="auto"/>
        <w:right w:val="none" w:sz="0" w:space="0" w:color="auto"/>
      </w:divBdr>
    </w:div>
    <w:div w:id="325863605">
      <w:bodyDiv w:val="1"/>
      <w:marLeft w:val="0"/>
      <w:marRight w:val="0"/>
      <w:marTop w:val="0"/>
      <w:marBottom w:val="0"/>
      <w:divBdr>
        <w:top w:val="none" w:sz="0" w:space="0" w:color="auto"/>
        <w:left w:val="none" w:sz="0" w:space="0" w:color="auto"/>
        <w:bottom w:val="none" w:sz="0" w:space="0" w:color="auto"/>
        <w:right w:val="none" w:sz="0" w:space="0" w:color="auto"/>
      </w:divBdr>
    </w:div>
    <w:div w:id="394088428">
      <w:bodyDiv w:val="1"/>
      <w:marLeft w:val="0"/>
      <w:marRight w:val="0"/>
      <w:marTop w:val="0"/>
      <w:marBottom w:val="0"/>
      <w:divBdr>
        <w:top w:val="none" w:sz="0" w:space="0" w:color="auto"/>
        <w:left w:val="none" w:sz="0" w:space="0" w:color="auto"/>
        <w:bottom w:val="none" w:sz="0" w:space="0" w:color="auto"/>
        <w:right w:val="none" w:sz="0" w:space="0" w:color="auto"/>
      </w:divBdr>
    </w:div>
    <w:div w:id="454644729">
      <w:bodyDiv w:val="1"/>
      <w:marLeft w:val="0"/>
      <w:marRight w:val="0"/>
      <w:marTop w:val="0"/>
      <w:marBottom w:val="0"/>
      <w:divBdr>
        <w:top w:val="none" w:sz="0" w:space="0" w:color="auto"/>
        <w:left w:val="none" w:sz="0" w:space="0" w:color="auto"/>
        <w:bottom w:val="none" w:sz="0" w:space="0" w:color="auto"/>
        <w:right w:val="none" w:sz="0" w:space="0" w:color="auto"/>
      </w:divBdr>
    </w:div>
    <w:div w:id="635795254">
      <w:bodyDiv w:val="1"/>
      <w:marLeft w:val="0"/>
      <w:marRight w:val="0"/>
      <w:marTop w:val="0"/>
      <w:marBottom w:val="0"/>
      <w:divBdr>
        <w:top w:val="none" w:sz="0" w:space="0" w:color="auto"/>
        <w:left w:val="none" w:sz="0" w:space="0" w:color="auto"/>
        <w:bottom w:val="none" w:sz="0" w:space="0" w:color="auto"/>
        <w:right w:val="none" w:sz="0" w:space="0" w:color="auto"/>
      </w:divBdr>
    </w:div>
    <w:div w:id="906036754">
      <w:bodyDiv w:val="1"/>
      <w:marLeft w:val="0"/>
      <w:marRight w:val="0"/>
      <w:marTop w:val="0"/>
      <w:marBottom w:val="0"/>
      <w:divBdr>
        <w:top w:val="none" w:sz="0" w:space="0" w:color="auto"/>
        <w:left w:val="none" w:sz="0" w:space="0" w:color="auto"/>
        <w:bottom w:val="none" w:sz="0" w:space="0" w:color="auto"/>
        <w:right w:val="none" w:sz="0" w:space="0" w:color="auto"/>
      </w:divBdr>
    </w:div>
    <w:div w:id="994794079">
      <w:bodyDiv w:val="1"/>
      <w:marLeft w:val="0"/>
      <w:marRight w:val="0"/>
      <w:marTop w:val="0"/>
      <w:marBottom w:val="0"/>
      <w:divBdr>
        <w:top w:val="none" w:sz="0" w:space="0" w:color="auto"/>
        <w:left w:val="none" w:sz="0" w:space="0" w:color="auto"/>
        <w:bottom w:val="none" w:sz="0" w:space="0" w:color="auto"/>
        <w:right w:val="none" w:sz="0" w:space="0" w:color="auto"/>
      </w:divBdr>
    </w:div>
    <w:div w:id="1193960305">
      <w:bodyDiv w:val="1"/>
      <w:marLeft w:val="0"/>
      <w:marRight w:val="0"/>
      <w:marTop w:val="0"/>
      <w:marBottom w:val="0"/>
      <w:divBdr>
        <w:top w:val="none" w:sz="0" w:space="0" w:color="auto"/>
        <w:left w:val="none" w:sz="0" w:space="0" w:color="auto"/>
        <w:bottom w:val="none" w:sz="0" w:space="0" w:color="auto"/>
        <w:right w:val="none" w:sz="0" w:space="0" w:color="auto"/>
      </w:divBdr>
    </w:div>
    <w:div w:id="1420180236">
      <w:bodyDiv w:val="1"/>
      <w:marLeft w:val="0"/>
      <w:marRight w:val="0"/>
      <w:marTop w:val="0"/>
      <w:marBottom w:val="0"/>
      <w:divBdr>
        <w:top w:val="none" w:sz="0" w:space="0" w:color="auto"/>
        <w:left w:val="none" w:sz="0" w:space="0" w:color="auto"/>
        <w:bottom w:val="none" w:sz="0" w:space="0" w:color="auto"/>
        <w:right w:val="none" w:sz="0" w:space="0" w:color="auto"/>
      </w:divBdr>
    </w:div>
    <w:div w:id="1431390394">
      <w:bodyDiv w:val="1"/>
      <w:marLeft w:val="0"/>
      <w:marRight w:val="0"/>
      <w:marTop w:val="0"/>
      <w:marBottom w:val="0"/>
      <w:divBdr>
        <w:top w:val="none" w:sz="0" w:space="0" w:color="auto"/>
        <w:left w:val="none" w:sz="0" w:space="0" w:color="auto"/>
        <w:bottom w:val="none" w:sz="0" w:space="0" w:color="auto"/>
        <w:right w:val="none" w:sz="0" w:space="0" w:color="auto"/>
      </w:divBdr>
      <w:divsChild>
        <w:div w:id="389305899">
          <w:marLeft w:val="0"/>
          <w:marRight w:val="0"/>
          <w:marTop w:val="0"/>
          <w:marBottom w:val="0"/>
          <w:divBdr>
            <w:top w:val="none" w:sz="0" w:space="0" w:color="auto"/>
            <w:left w:val="none" w:sz="0" w:space="0" w:color="auto"/>
            <w:bottom w:val="none" w:sz="0" w:space="0" w:color="auto"/>
            <w:right w:val="none" w:sz="0" w:space="0" w:color="auto"/>
          </w:divBdr>
          <w:divsChild>
            <w:div w:id="424962903">
              <w:marLeft w:val="0"/>
              <w:marRight w:val="0"/>
              <w:marTop w:val="0"/>
              <w:marBottom w:val="0"/>
              <w:divBdr>
                <w:top w:val="none" w:sz="0" w:space="0" w:color="auto"/>
                <w:left w:val="none" w:sz="0" w:space="0" w:color="auto"/>
                <w:bottom w:val="none" w:sz="0" w:space="0" w:color="auto"/>
                <w:right w:val="none" w:sz="0" w:space="0" w:color="auto"/>
              </w:divBdr>
              <w:divsChild>
                <w:div w:id="246546970">
                  <w:marLeft w:val="0"/>
                  <w:marRight w:val="0"/>
                  <w:marTop w:val="0"/>
                  <w:marBottom w:val="0"/>
                  <w:divBdr>
                    <w:top w:val="none" w:sz="0" w:space="0" w:color="auto"/>
                    <w:left w:val="none" w:sz="0" w:space="0" w:color="auto"/>
                    <w:bottom w:val="none" w:sz="0" w:space="0" w:color="auto"/>
                    <w:right w:val="none" w:sz="0" w:space="0" w:color="auto"/>
                  </w:divBdr>
                  <w:divsChild>
                    <w:div w:id="133086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425109">
      <w:bodyDiv w:val="1"/>
      <w:marLeft w:val="0"/>
      <w:marRight w:val="0"/>
      <w:marTop w:val="0"/>
      <w:marBottom w:val="0"/>
      <w:divBdr>
        <w:top w:val="none" w:sz="0" w:space="0" w:color="auto"/>
        <w:left w:val="none" w:sz="0" w:space="0" w:color="auto"/>
        <w:bottom w:val="none" w:sz="0" w:space="0" w:color="auto"/>
        <w:right w:val="none" w:sz="0" w:space="0" w:color="auto"/>
      </w:divBdr>
    </w:div>
    <w:div w:id="1566574321">
      <w:bodyDiv w:val="1"/>
      <w:marLeft w:val="0"/>
      <w:marRight w:val="0"/>
      <w:marTop w:val="0"/>
      <w:marBottom w:val="0"/>
      <w:divBdr>
        <w:top w:val="none" w:sz="0" w:space="0" w:color="auto"/>
        <w:left w:val="none" w:sz="0" w:space="0" w:color="auto"/>
        <w:bottom w:val="none" w:sz="0" w:space="0" w:color="auto"/>
        <w:right w:val="none" w:sz="0" w:space="0" w:color="auto"/>
      </w:divBdr>
    </w:div>
    <w:div w:id="1594163387">
      <w:bodyDiv w:val="1"/>
      <w:marLeft w:val="0"/>
      <w:marRight w:val="0"/>
      <w:marTop w:val="0"/>
      <w:marBottom w:val="0"/>
      <w:divBdr>
        <w:top w:val="none" w:sz="0" w:space="0" w:color="auto"/>
        <w:left w:val="none" w:sz="0" w:space="0" w:color="auto"/>
        <w:bottom w:val="none" w:sz="0" w:space="0" w:color="auto"/>
        <w:right w:val="none" w:sz="0" w:space="0" w:color="auto"/>
      </w:divBdr>
    </w:div>
    <w:div w:id="1690643495">
      <w:bodyDiv w:val="1"/>
      <w:marLeft w:val="0"/>
      <w:marRight w:val="0"/>
      <w:marTop w:val="0"/>
      <w:marBottom w:val="0"/>
      <w:divBdr>
        <w:top w:val="none" w:sz="0" w:space="0" w:color="auto"/>
        <w:left w:val="none" w:sz="0" w:space="0" w:color="auto"/>
        <w:bottom w:val="none" w:sz="0" w:space="0" w:color="auto"/>
        <w:right w:val="none" w:sz="0" w:space="0" w:color="auto"/>
      </w:divBdr>
    </w:div>
    <w:div w:id="1709181052">
      <w:bodyDiv w:val="1"/>
      <w:marLeft w:val="0"/>
      <w:marRight w:val="0"/>
      <w:marTop w:val="0"/>
      <w:marBottom w:val="0"/>
      <w:divBdr>
        <w:top w:val="none" w:sz="0" w:space="0" w:color="auto"/>
        <w:left w:val="none" w:sz="0" w:space="0" w:color="auto"/>
        <w:bottom w:val="none" w:sz="0" w:space="0" w:color="auto"/>
        <w:right w:val="none" w:sz="0" w:space="0" w:color="auto"/>
      </w:divBdr>
    </w:div>
    <w:div w:id="1837065306">
      <w:bodyDiv w:val="1"/>
      <w:marLeft w:val="0"/>
      <w:marRight w:val="0"/>
      <w:marTop w:val="0"/>
      <w:marBottom w:val="0"/>
      <w:divBdr>
        <w:top w:val="none" w:sz="0" w:space="0" w:color="auto"/>
        <w:left w:val="none" w:sz="0" w:space="0" w:color="auto"/>
        <w:bottom w:val="none" w:sz="0" w:space="0" w:color="auto"/>
        <w:right w:val="none" w:sz="0" w:space="0" w:color="auto"/>
      </w:divBdr>
      <w:divsChild>
        <w:div w:id="437263221">
          <w:marLeft w:val="0"/>
          <w:marRight w:val="0"/>
          <w:marTop w:val="0"/>
          <w:marBottom w:val="0"/>
          <w:divBdr>
            <w:top w:val="none" w:sz="0" w:space="0" w:color="auto"/>
            <w:left w:val="none" w:sz="0" w:space="0" w:color="auto"/>
            <w:bottom w:val="none" w:sz="0" w:space="0" w:color="auto"/>
            <w:right w:val="none" w:sz="0" w:space="0" w:color="auto"/>
          </w:divBdr>
          <w:divsChild>
            <w:div w:id="1404259087">
              <w:marLeft w:val="0"/>
              <w:marRight w:val="0"/>
              <w:marTop w:val="0"/>
              <w:marBottom w:val="0"/>
              <w:divBdr>
                <w:top w:val="none" w:sz="0" w:space="0" w:color="auto"/>
                <w:left w:val="none" w:sz="0" w:space="0" w:color="auto"/>
                <w:bottom w:val="none" w:sz="0" w:space="0" w:color="auto"/>
                <w:right w:val="none" w:sz="0" w:space="0" w:color="auto"/>
              </w:divBdr>
              <w:divsChild>
                <w:div w:id="1137182756">
                  <w:marLeft w:val="0"/>
                  <w:marRight w:val="0"/>
                  <w:marTop w:val="0"/>
                  <w:marBottom w:val="0"/>
                  <w:divBdr>
                    <w:top w:val="none" w:sz="0" w:space="0" w:color="auto"/>
                    <w:left w:val="none" w:sz="0" w:space="0" w:color="auto"/>
                    <w:bottom w:val="none" w:sz="0" w:space="0" w:color="auto"/>
                    <w:right w:val="none" w:sz="0" w:space="0" w:color="auto"/>
                  </w:divBdr>
                  <w:divsChild>
                    <w:div w:id="174190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201630">
      <w:bodyDiv w:val="1"/>
      <w:marLeft w:val="0"/>
      <w:marRight w:val="0"/>
      <w:marTop w:val="0"/>
      <w:marBottom w:val="0"/>
      <w:divBdr>
        <w:top w:val="none" w:sz="0" w:space="0" w:color="auto"/>
        <w:left w:val="none" w:sz="0" w:space="0" w:color="auto"/>
        <w:bottom w:val="none" w:sz="0" w:space="0" w:color="auto"/>
        <w:right w:val="none" w:sz="0" w:space="0" w:color="auto"/>
      </w:divBdr>
    </w:div>
    <w:div w:id="1958021881">
      <w:bodyDiv w:val="1"/>
      <w:marLeft w:val="0"/>
      <w:marRight w:val="0"/>
      <w:marTop w:val="0"/>
      <w:marBottom w:val="0"/>
      <w:divBdr>
        <w:top w:val="none" w:sz="0" w:space="0" w:color="auto"/>
        <w:left w:val="none" w:sz="0" w:space="0" w:color="auto"/>
        <w:bottom w:val="none" w:sz="0" w:space="0" w:color="auto"/>
        <w:right w:val="none" w:sz="0" w:space="0" w:color="auto"/>
      </w:divBdr>
    </w:div>
    <w:div w:id="1968662626">
      <w:bodyDiv w:val="1"/>
      <w:marLeft w:val="0"/>
      <w:marRight w:val="0"/>
      <w:marTop w:val="0"/>
      <w:marBottom w:val="0"/>
      <w:divBdr>
        <w:top w:val="none" w:sz="0" w:space="0" w:color="auto"/>
        <w:left w:val="none" w:sz="0" w:space="0" w:color="auto"/>
        <w:bottom w:val="none" w:sz="0" w:space="0" w:color="auto"/>
        <w:right w:val="none" w:sz="0" w:space="0" w:color="auto"/>
      </w:divBdr>
    </w:div>
    <w:div w:id="213328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althsperien.us19.list-manage.com/track/click?u=b80803827ec1d826bd16eace6&amp;id=e4069a7237&amp;e=02f9a79650" TargetMode="External"/><Relationship Id="rId13" Type="http://schemas.openxmlformats.org/officeDocument/2006/relationships/hyperlink" Target="https://healthsperien.us19.list-manage.com/track/click?u=b80803827ec1d826bd16eace6&amp;id=0d4ebc42ca&amp;e=02f9a79650" TargetMode="External"/><Relationship Id="rId18" Type="http://schemas.openxmlformats.org/officeDocument/2006/relationships/hyperlink" Target="https://healthsperien.us19.list-manage.com/track/click?u=b80803827ec1d826bd16eace6&amp;id=ee5bd67a9e&amp;e=02f9a79650"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healthsperien.us19.list-manage.com/track/click?u=b80803827ec1d826bd16eace6&amp;id=60c7f704af&amp;e=02f9a79650" TargetMode="External"/><Relationship Id="rId7" Type="http://schemas.openxmlformats.org/officeDocument/2006/relationships/image" Target="media/image1.png"/><Relationship Id="rId12" Type="http://schemas.openxmlformats.org/officeDocument/2006/relationships/hyperlink" Target="https://healthsperien.us19.list-manage.com/track/click?u=b80803827ec1d826bd16eace6&amp;id=cef77915d2&amp;e=02f9a79650" TargetMode="External"/><Relationship Id="rId17" Type="http://schemas.openxmlformats.org/officeDocument/2006/relationships/hyperlink" Target="https://healthsperien.us19.list-manage.com/track/click?u=b80803827ec1d826bd16eace6&amp;id=a8c94d9568&amp;e=02f9a79650"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healthsperien.us19.list-manage.com/track/click?u=b80803827ec1d826bd16eace6&amp;id=5b0fd4e335&amp;e=02f9a79650" TargetMode="External"/><Relationship Id="rId20" Type="http://schemas.openxmlformats.org/officeDocument/2006/relationships/hyperlink" Target="https://healthsperien.us19.list-manage.com/track/click?u=b80803827ec1d826bd16eace6&amp;id=2121b4f1a1&amp;e=02f9a7965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ealthsperien.us19.list-manage.com/track/click?u=b80803827ec1d826bd16eace6&amp;id=42e7dc5a97&amp;e=02f9a79650" TargetMode="External"/><Relationship Id="rId24" Type="http://schemas.openxmlformats.org/officeDocument/2006/relationships/hyperlink" Target="https://healthsperien.us19.list-manage.com/track/click?u=b80803827ec1d826bd16eace6&amp;id=f83c6e311f&amp;e=02f9a79650" TargetMode="External"/><Relationship Id="rId5" Type="http://schemas.openxmlformats.org/officeDocument/2006/relationships/footnotes" Target="footnotes.xml"/><Relationship Id="rId15" Type="http://schemas.openxmlformats.org/officeDocument/2006/relationships/hyperlink" Target="https://www.appropriations.senate.gov/imo/media/doc/fy26_lhhs_bill_text.pdf" TargetMode="External"/><Relationship Id="rId23" Type="http://schemas.openxmlformats.org/officeDocument/2006/relationships/hyperlink" Target="https://healthsperien.us19.list-manage.com/track/click?u=b80803827ec1d826bd16eace6&amp;id=4ad50e429a&amp;e=02f9a79650" TargetMode="External"/><Relationship Id="rId10" Type="http://schemas.openxmlformats.org/officeDocument/2006/relationships/hyperlink" Target="https://healthsperien.us19.list-manage.com/track/click?u=b80803827ec1d826bd16eace6&amp;id=8fe6a95634&amp;e=02f9a79650" TargetMode="External"/><Relationship Id="rId19" Type="http://schemas.openxmlformats.org/officeDocument/2006/relationships/hyperlink" Target="https://healthsperien.us19.list-manage.com/track/click?u=b80803827ec1d826bd16eace6&amp;id=ad7a348705&amp;e=02f9a79650" TargetMode="External"/><Relationship Id="rId4" Type="http://schemas.openxmlformats.org/officeDocument/2006/relationships/webSettings" Target="webSettings.xml"/><Relationship Id="rId9" Type="http://schemas.openxmlformats.org/officeDocument/2006/relationships/hyperlink" Target="https://healthsperien.us19.list-manage.com/track/click?u=b80803827ec1d826bd16eace6&amp;id=87b20f60bb&amp;e=02f9a79650" TargetMode="External"/><Relationship Id="rId14" Type="http://schemas.openxmlformats.org/officeDocument/2006/relationships/hyperlink" Target="https://healthsperien.us19.list-manage.com/track/click?u=b80803827ec1d826bd16eace6&amp;id=de3e3b5912&amp;e=02f9a79650" TargetMode="External"/><Relationship Id="rId22" Type="http://schemas.openxmlformats.org/officeDocument/2006/relationships/hyperlink" Target="https://healthsperien.us19.list-manage.com/track/click?u=b80803827ec1d826bd16eace6&amp;id=64ce902616&amp;e=02f9a79650"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3090</Words>
  <Characters>17618</Characters>
  <Application>Microsoft Office Word</Application>
  <DocSecurity>0</DocSecurity>
  <Lines>146</Lines>
  <Paragraphs>41</Paragraphs>
  <ScaleCrop>false</ScaleCrop>
  <Company/>
  <LinksUpToDate>false</LinksUpToDate>
  <CharactersWithSpaces>20667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Jordan</dc:creator>
  <cp:keywords/>
  <dc:description/>
  <cp:lastModifiedBy>Brian Lindberg</cp:lastModifiedBy>
  <cp:revision>4</cp:revision>
  <dcterms:created xsi:type="dcterms:W3CDTF">2025-08-04T17:17:00Z</dcterms:created>
  <dcterms:modified xsi:type="dcterms:W3CDTF">2025-08-04T17:24:00Z</dcterms:modified>
</cp:coreProperties>
</file>