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6660C833"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777A8">
        <w:rPr>
          <w:rFonts w:ascii="Poppins SemiBold" w:hAnsi="Poppins SemiBold" w:cs="Poppins SemiBold"/>
          <w:noProof/>
          <w:sz w:val="32"/>
          <w:szCs w:val="32"/>
        </w:rPr>
        <w:t>Au</w:t>
      </w:r>
      <w:r w:rsidR="004C7BB5">
        <w:rPr>
          <w:rFonts w:ascii="Poppins SemiBold" w:hAnsi="Poppins SemiBold" w:cs="Poppins SemiBold"/>
          <w:noProof/>
          <w:sz w:val="32"/>
          <w:szCs w:val="32"/>
        </w:rPr>
        <w:t>gu</w:t>
      </w:r>
      <w:r w:rsidR="005777A8">
        <w:rPr>
          <w:rFonts w:ascii="Poppins SemiBold" w:hAnsi="Poppins SemiBold" w:cs="Poppins SemiBold"/>
          <w:noProof/>
          <w:sz w:val="32"/>
          <w:szCs w:val="32"/>
        </w:rPr>
        <w:t xml:space="preserve">st </w:t>
      </w:r>
      <w:r w:rsidR="007457BD">
        <w:rPr>
          <w:rFonts w:ascii="Poppins SemiBold" w:hAnsi="Poppins SemiBold" w:cs="Poppins SemiBold"/>
          <w:noProof/>
          <w:sz w:val="32"/>
          <w:szCs w:val="32"/>
        </w:rPr>
        <w:t>2</w:t>
      </w:r>
      <w:r w:rsidR="00067308">
        <w:rPr>
          <w:rFonts w:ascii="Poppins SemiBold" w:hAnsi="Poppins SemiBold" w:cs="Poppins SemiBold"/>
          <w:noProof/>
          <w:sz w:val="32"/>
          <w:szCs w:val="32"/>
        </w:rPr>
        <w:t>6</w:t>
      </w:r>
      <w:r w:rsidRPr="00736378">
        <w:rPr>
          <w:rFonts w:ascii="Poppins SemiBold" w:hAnsi="Poppins SemiBold" w:cs="Poppins SemiBold"/>
          <w:noProof/>
          <w:sz w:val="32"/>
          <w:szCs w:val="32"/>
        </w:rPr>
        <w:t>, 2024</w:t>
      </w:r>
    </w:p>
    <w:p w14:paraId="371D8A62" w14:textId="7A075A11" w:rsidR="0018604A" w:rsidRPr="0018604A" w:rsidRDefault="0018604A" w:rsidP="00DA1F1F">
      <w:pPr>
        <w:pStyle w:val="ListParagraph"/>
        <w:numPr>
          <w:ilvl w:val="0"/>
          <w:numId w:val="1"/>
        </w:numPr>
        <w:spacing w:before="240" w:after="0"/>
        <w:rPr>
          <w:rFonts w:ascii="Poppins Medium" w:hAnsi="Poppins Medium" w:cs="Poppins Medium"/>
          <w:color w:val="0F4761" w:themeColor="accent1" w:themeShade="BF"/>
          <w:sz w:val="24"/>
          <w:szCs w:val="28"/>
        </w:rPr>
      </w:pPr>
      <w:r w:rsidRPr="0018604A">
        <w:rPr>
          <w:rFonts w:ascii="Poppins Medium" w:hAnsi="Poppins Medium" w:cs="Poppins Medium"/>
          <w:color w:val="0F4761" w:themeColor="accent1" w:themeShade="BF"/>
          <w:sz w:val="24"/>
          <w:szCs w:val="28"/>
        </w:rPr>
        <w:t xml:space="preserve">IPC and UNESCO Host International Disability Inclusion Conference </w:t>
      </w:r>
    </w:p>
    <w:p w14:paraId="6560E73D" w14:textId="4CF92E7C" w:rsidR="0018604A" w:rsidRDefault="0018604A" w:rsidP="0018604A">
      <w:pPr>
        <w:pStyle w:val="ListParagraph"/>
        <w:spacing w:before="240" w:after="0"/>
        <w:ind w:left="360"/>
      </w:pPr>
      <w:r>
        <w:t>On August 27</w:t>
      </w:r>
      <w:r w:rsidRPr="0018604A">
        <w:rPr>
          <w:vertAlign w:val="superscript"/>
        </w:rPr>
        <w:t>th</w:t>
      </w:r>
      <w:r>
        <w:t xml:space="preserve"> and 28</w:t>
      </w:r>
      <w:r w:rsidRPr="0018604A">
        <w:rPr>
          <w:vertAlign w:val="superscript"/>
        </w:rPr>
        <w:t>th</w:t>
      </w:r>
      <w:r>
        <w:t xml:space="preserve">, the International Paralympic Committee (IPC) and UNESCO will </w:t>
      </w:r>
      <w:hyperlink r:id="rId8" w:history="1">
        <w:r w:rsidRPr="0018604A">
          <w:rPr>
            <w:rStyle w:val="Hyperlink"/>
          </w:rPr>
          <w:t>host</w:t>
        </w:r>
      </w:hyperlink>
      <w:r>
        <w:t xml:space="preserve"> the International Disability Inclusion Conference: Harnessing the transformational impact of Para sport ahead of the Paris 2024 Paralympic Games, which take place on August 28</w:t>
      </w:r>
      <w:r w:rsidRPr="0018604A">
        <w:rPr>
          <w:vertAlign w:val="superscript"/>
        </w:rPr>
        <w:t>th</w:t>
      </w:r>
      <w:r>
        <w:t xml:space="preserve"> through September 8</w:t>
      </w:r>
      <w:r w:rsidRPr="0018604A">
        <w:rPr>
          <w:vertAlign w:val="superscript"/>
        </w:rPr>
        <w:t>th</w:t>
      </w:r>
      <w:r>
        <w:t xml:space="preserve">. This conference will bring together global leaders from the Paralympic Movement, athletes, leaders in the private sector, and government representatives to encourage investment from all sectors in inclusive sport and physical activity. Notably, a key theme of the conference is cultural rights at the forefront of inclusivity and cultural diversity. </w:t>
      </w:r>
      <w:r w:rsidR="00C43DBD">
        <w:t xml:space="preserve">In addition, UNESCO will </w:t>
      </w:r>
      <w:hyperlink r:id="rId9" w:history="1">
        <w:r w:rsidR="00C43DBD" w:rsidRPr="00C43DBD">
          <w:rPr>
            <w:rStyle w:val="Hyperlink"/>
          </w:rPr>
          <w:t>launch</w:t>
        </w:r>
      </w:hyperlink>
      <w:r w:rsidR="00C43DBD">
        <w:t xml:space="preserve"> a Practical Manual and a Master Class video series on Disability Equality in the Media during the conference </w:t>
      </w:r>
    </w:p>
    <w:p w14:paraId="5CCAA27B" w14:textId="77777777" w:rsidR="0018604A" w:rsidRPr="0018604A" w:rsidRDefault="0018604A" w:rsidP="0018604A">
      <w:pPr>
        <w:pStyle w:val="ListParagraph"/>
        <w:spacing w:before="240" w:after="0"/>
        <w:ind w:left="360"/>
      </w:pPr>
    </w:p>
    <w:p w14:paraId="56C87E4F" w14:textId="7BE4B448" w:rsidR="00C43DBD" w:rsidRPr="00C43DBD" w:rsidRDefault="00C43DBD" w:rsidP="00DA1F1F">
      <w:pPr>
        <w:pStyle w:val="ListParagraph"/>
        <w:numPr>
          <w:ilvl w:val="0"/>
          <w:numId w:val="1"/>
        </w:numPr>
        <w:spacing w:before="240" w:after="0"/>
        <w:rPr>
          <w:rFonts w:ascii="Poppins Medium" w:hAnsi="Poppins Medium" w:cs="Poppins Medium"/>
          <w:color w:val="0F4761" w:themeColor="accent1" w:themeShade="BF"/>
          <w:sz w:val="24"/>
          <w:szCs w:val="28"/>
        </w:rPr>
      </w:pPr>
      <w:r w:rsidRPr="00C43DBD">
        <w:rPr>
          <w:rFonts w:ascii="Poppins Medium" w:hAnsi="Poppins Medium" w:cs="Poppins Medium"/>
          <w:color w:val="0F4761" w:themeColor="accent1" w:themeShade="BF"/>
          <w:sz w:val="24"/>
          <w:szCs w:val="28"/>
        </w:rPr>
        <w:t>Disability Rights Group Files Lawsuit Over County Mask Ban in New York</w:t>
      </w:r>
    </w:p>
    <w:p w14:paraId="664A2FEE" w14:textId="765E2142" w:rsidR="00C43DBD" w:rsidRDefault="00C43DBD" w:rsidP="00C43DBD">
      <w:pPr>
        <w:pStyle w:val="ListParagraph"/>
        <w:spacing w:before="240" w:after="0"/>
        <w:ind w:left="360"/>
      </w:pPr>
      <w:r>
        <w:t xml:space="preserve">Disability Rights New York </w:t>
      </w:r>
      <w:hyperlink r:id="rId10" w:history="1">
        <w:r w:rsidRPr="004815F6">
          <w:rPr>
            <w:rStyle w:val="Hyperlink"/>
          </w:rPr>
          <w:t>filed</w:t>
        </w:r>
      </w:hyperlink>
      <w:r>
        <w:t xml:space="preserve"> a class action lawsuit against Nassau County, New York regarding Nassau County’s new ban on wearing masks “for the purposes of concealing an individual’s identify in public places.” According to a local legislator, the ban aimed to address antisemitic incidents, often perpetrated by those in masks. Disability Rights New York filed a lawsuit on behalf of people with disabilities, and alleged that the ban violates the U.S. </w:t>
      </w:r>
      <w:r w:rsidR="004815F6">
        <w:t>Constitution</w:t>
      </w:r>
      <w:r>
        <w:t xml:space="preserve">, the New York State Constitution, the Americans with </w:t>
      </w:r>
      <w:r w:rsidR="004815F6">
        <w:t>Disabilities</w:t>
      </w:r>
      <w:r>
        <w:t xml:space="preserve"> Act, </w:t>
      </w:r>
      <w:r w:rsidR="004815F6">
        <w:t>and</w:t>
      </w:r>
      <w:r>
        <w:t xml:space="preserve"> Section 504 of the Rehabilitation Act. </w:t>
      </w:r>
    </w:p>
    <w:p w14:paraId="57C28D9B" w14:textId="77777777" w:rsidR="00C43DBD" w:rsidRPr="00C43DBD" w:rsidRDefault="00C43DBD" w:rsidP="00C43DBD">
      <w:pPr>
        <w:pStyle w:val="ListParagraph"/>
        <w:spacing w:before="240" w:after="0"/>
        <w:ind w:left="360"/>
      </w:pPr>
    </w:p>
    <w:p w14:paraId="6CFDF55D" w14:textId="0FE52F09" w:rsidR="00067308" w:rsidRPr="00067308" w:rsidRDefault="00067308" w:rsidP="00DA1F1F">
      <w:pPr>
        <w:pStyle w:val="ListParagraph"/>
        <w:numPr>
          <w:ilvl w:val="0"/>
          <w:numId w:val="1"/>
        </w:numPr>
        <w:spacing w:before="240" w:after="0"/>
      </w:pPr>
      <w:r w:rsidRPr="00067308">
        <w:rPr>
          <w:rFonts w:ascii="Poppins Medium" w:hAnsi="Poppins Medium" w:cs="Poppins Medium"/>
          <w:color w:val="0F4761" w:themeColor="accent1" w:themeShade="BF"/>
          <w:sz w:val="24"/>
          <w:szCs w:val="24"/>
        </w:rPr>
        <w:t xml:space="preserve">HHS Launches National Respiratory Virus and Vaccination Educational Campaign </w:t>
      </w:r>
    </w:p>
    <w:p w14:paraId="6B6B7B51" w14:textId="75ED71CE" w:rsidR="00067308" w:rsidRDefault="00067308" w:rsidP="00067308">
      <w:pPr>
        <w:pStyle w:val="ListParagraph"/>
        <w:spacing w:before="240" w:after="0"/>
        <w:ind w:left="360"/>
      </w:pPr>
      <w:r>
        <w:t xml:space="preserve">The Department of Health and Human Services </w:t>
      </w:r>
      <w:hyperlink r:id="rId11" w:anchor=":~:text=The%20campaign%2C%20Risk%20Less.,these%20viruses%20among%20all%20Americans.">
        <w:r w:rsidRPr="7BA8311A">
          <w:rPr>
            <w:rStyle w:val="Hyperlink"/>
          </w:rPr>
          <w:t>launched</w:t>
        </w:r>
      </w:hyperlink>
      <w:r>
        <w:t xml:space="preserve"> the </w:t>
      </w:r>
      <w:hyperlink r:id="rId12">
        <w:r w:rsidRPr="00067308">
          <w:rPr>
            <w:rStyle w:val="Hyperlink"/>
            <w:i/>
            <w:iCs/>
          </w:rPr>
          <w:t>Risk Less. Do More.</w:t>
        </w:r>
      </w:hyperlink>
      <w:r>
        <w:t xml:space="preserve"> Campaign ahead of respiratory virus season. The Pan Respiratory Virus (PRV) Public Education Campaign (PEC) intends to increase awareness of vaccines that reduce serious illness from common respiratory viruses including influenza (flu), COVID-19, </w:t>
      </w:r>
      <w:r>
        <w:lastRenderedPageBreak/>
        <w:t xml:space="preserve">respiratory syncytial virus (RSV) in high-risk populations and to limit the spread of these diseases to the larger American populus. </w:t>
      </w:r>
      <w:r w:rsidRPr="00067308">
        <w:rPr>
          <w:i/>
          <w:iCs/>
        </w:rPr>
        <w:t xml:space="preserve">Risk Less. Do More. </w:t>
      </w:r>
      <w:r w:rsidRPr="7BA8311A">
        <w:t xml:space="preserve">will utilize paid advertisements, media, and collaborate with state and local health departments and community organizations to reach all audiences with a specific focus on the highest-risk groups. Last fall and winter, respiratory virus infections caused over 800,000 hospitalizations with the highest risk communities including people 65 years old or older, long-term care facility residents, pregnant people, people living in rural areas, Black people, and Hispanic people. The PEC follows HHS Secretary Becerra’s </w:t>
      </w:r>
      <w:r w:rsidRPr="00067308">
        <w:rPr>
          <w:i/>
          <w:iCs/>
        </w:rPr>
        <w:t xml:space="preserve">We Can Do This </w:t>
      </w:r>
      <w:r w:rsidRPr="7BA8311A">
        <w:t xml:space="preserve">campaign which </w:t>
      </w:r>
      <w:hyperlink r:id="rId13">
        <w:r w:rsidRPr="7BA8311A">
          <w:rPr>
            <w:rStyle w:val="Hyperlink"/>
          </w:rPr>
          <w:t>encouraged</w:t>
        </w:r>
      </w:hyperlink>
      <w:r w:rsidRPr="7BA8311A">
        <w:t xml:space="preserve"> people to complete their primary COVID-19 vaccination series under the Biden Administration.</w:t>
      </w:r>
    </w:p>
    <w:p w14:paraId="1E3B7E5D" w14:textId="77777777" w:rsidR="00067308" w:rsidRPr="00067308" w:rsidRDefault="00067308" w:rsidP="00067308">
      <w:pPr>
        <w:pStyle w:val="ListParagraph"/>
        <w:spacing w:before="240" w:after="0"/>
        <w:ind w:left="360"/>
        <w:rPr>
          <w:rFonts w:ascii="Poppins Medium" w:hAnsi="Poppins Medium" w:cs="Poppins Medium"/>
          <w:b/>
          <w:bCs/>
          <w:color w:val="0F4761" w:themeColor="accent1" w:themeShade="BF"/>
          <w:sz w:val="24"/>
          <w:szCs w:val="24"/>
        </w:rPr>
      </w:pPr>
    </w:p>
    <w:p w14:paraId="65BAD543" w14:textId="77777777" w:rsidR="00067308" w:rsidRDefault="00067308" w:rsidP="00067308">
      <w:pPr>
        <w:pStyle w:val="ListParagraph"/>
        <w:numPr>
          <w:ilvl w:val="0"/>
          <w:numId w:val="1"/>
        </w:numPr>
        <w:spacing w:before="240" w:after="0"/>
        <w:rPr>
          <w:rFonts w:ascii="Poppins Medium" w:hAnsi="Poppins Medium" w:cs="Poppins Medium"/>
          <w:color w:val="0F4761" w:themeColor="accent1" w:themeShade="BF"/>
          <w:sz w:val="24"/>
          <w:szCs w:val="24"/>
        </w:rPr>
      </w:pPr>
      <w:r w:rsidRPr="00067308">
        <w:rPr>
          <w:rFonts w:ascii="Poppins Medium" w:hAnsi="Poppins Medium" w:cs="Poppins Medium"/>
          <w:color w:val="0F4761" w:themeColor="accent1" w:themeShade="BF"/>
          <w:sz w:val="24"/>
          <w:szCs w:val="24"/>
        </w:rPr>
        <w:t>CMCS Releases Policy Guidance on Ensuring Continuity of Coverage for Individuals Receiving Home and Community-Based Services</w:t>
      </w:r>
    </w:p>
    <w:p w14:paraId="3133F089" w14:textId="33586FFD" w:rsidR="00067308" w:rsidRPr="00067308" w:rsidRDefault="00067308" w:rsidP="00067308">
      <w:pPr>
        <w:pStyle w:val="ListParagraph"/>
        <w:ind w:left="360"/>
        <w:rPr>
          <w:b/>
          <w:bCs/>
        </w:rPr>
      </w:pPr>
      <w:r>
        <w:t xml:space="preserve">Deputy Administrator and Director of the Center for Medicaid and CHIP Services (CMCS) Daniel Tsai </w:t>
      </w:r>
      <w:hyperlink r:id="rId14">
        <w:r w:rsidRPr="6DD82081">
          <w:rPr>
            <w:rStyle w:val="Hyperlink"/>
          </w:rPr>
          <w:t>released</w:t>
        </w:r>
      </w:hyperlink>
      <w:r>
        <w:t xml:space="preserve"> an informational bulletin and associated slide deck on</w:t>
      </w:r>
      <w:r w:rsidRPr="00067308">
        <w:rPr>
          <w:b/>
          <w:bCs/>
        </w:rPr>
        <w:t xml:space="preserve"> </w:t>
      </w:r>
      <w:r>
        <w:t>Ensuring Continuity of Coverage for Individuals Receiving Home and Community-Based Services (HCBS). In the bulletin, Deputy Administrator Tsai encourages state Medicaid agencies to maintain HCBS benefits in the policies, operations, and systems for redetermining Medicaid eligibility to promote individual choice, control, and access to HCBSs. The bulletin also includes information on federal Medicaid eligibility requirements, renewal eligibility for individuals enrolled in HCBS, strategies to facilitate reenrollment of eligible individuals in HCBS, existing flexibilities to promote HCBS access and continued coverage, and additional resources.</w:t>
      </w:r>
    </w:p>
    <w:p w14:paraId="3A874039" w14:textId="70510DDC" w:rsidR="00C32E81" w:rsidRPr="00067308" w:rsidRDefault="00C32E81" w:rsidP="00067308">
      <w:pPr>
        <w:pStyle w:val="ListParagraph"/>
        <w:spacing w:before="240" w:after="0"/>
        <w:ind w:left="360"/>
        <w:rPr>
          <w:rFonts w:cs="Poppins"/>
          <w:szCs w:val="20"/>
        </w:rPr>
      </w:pPr>
    </w:p>
    <w:p w14:paraId="62E7226C" w14:textId="06D728F1" w:rsidR="00067308" w:rsidRPr="00067308" w:rsidRDefault="00067308" w:rsidP="00562B1C">
      <w:pPr>
        <w:pStyle w:val="ListParagraph"/>
        <w:numPr>
          <w:ilvl w:val="0"/>
          <w:numId w:val="1"/>
        </w:numPr>
        <w:spacing w:before="240" w:after="0"/>
        <w:rPr>
          <w:rFonts w:ascii="Poppins Medium" w:hAnsi="Poppins Medium" w:cs="Poppins Medium"/>
          <w:color w:val="0F4761" w:themeColor="accent1" w:themeShade="BF"/>
          <w:sz w:val="24"/>
          <w:szCs w:val="24"/>
        </w:rPr>
      </w:pPr>
      <w:r w:rsidRPr="00067308">
        <w:rPr>
          <w:rFonts w:ascii="Poppins Medium" w:hAnsi="Poppins Medium" w:cs="Poppins Medium"/>
          <w:color w:val="0F4761" w:themeColor="accent1" w:themeShade="BF"/>
          <w:sz w:val="24"/>
          <w:szCs w:val="24"/>
        </w:rPr>
        <w:t xml:space="preserve">CDC Releases 2021 State Life Tables </w:t>
      </w:r>
    </w:p>
    <w:p w14:paraId="3D0571C9" w14:textId="184D5790" w:rsidR="00067308" w:rsidRDefault="00067308" w:rsidP="00067308">
      <w:pPr>
        <w:pStyle w:val="ListParagraph"/>
        <w:ind w:left="360"/>
      </w:pPr>
      <w:r>
        <w:t xml:space="preserve">The Centers for Disease Control and Prevention (CDC) </w:t>
      </w:r>
      <w:hyperlink r:id="rId15">
        <w:r w:rsidRPr="68C503A6">
          <w:rPr>
            <w:rStyle w:val="Hyperlink"/>
          </w:rPr>
          <w:t>released</w:t>
        </w:r>
      </w:hyperlink>
      <w:r>
        <w:t xml:space="preserve"> the U.S. State Life Tables, 2021. Mortality statistics, population estimates, and Medicare data </w:t>
      </w:r>
      <w:proofErr w:type="gramStart"/>
      <w:r>
        <w:t>was</w:t>
      </w:r>
      <w:proofErr w:type="gramEnd"/>
      <w:r>
        <w:t xml:space="preserve"> used to compose each state’s life table. From 2020 to 2021, life expectancy across the United States decreased by 0.6 years, or just over 7 months. Of the 50 states and the District of Columbia, Hawaii had the highest life expectancy at birth (79.9 years) and Mississippi had the lowest life expectancy at birth (70.9 years). 39 states experienced life expectancy decline, 11 states experienced life expectancy increase, and remained unchanged for the District of Columbia. Life expectancy for females was higher than males in all states and the District of Columbia by 3.9 years to 7.6 years.</w:t>
      </w:r>
    </w:p>
    <w:p w14:paraId="2E815C74" w14:textId="77777777" w:rsidR="00067308" w:rsidRDefault="00067308" w:rsidP="00067308">
      <w:pPr>
        <w:pStyle w:val="ListParagraph"/>
        <w:ind w:left="360"/>
      </w:pPr>
    </w:p>
    <w:p w14:paraId="29A0A76E" w14:textId="77777777" w:rsidR="00067308" w:rsidRPr="00067308" w:rsidRDefault="00067308" w:rsidP="00067308">
      <w:pPr>
        <w:pStyle w:val="ListParagraph"/>
        <w:numPr>
          <w:ilvl w:val="0"/>
          <w:numId w:val="1"/>
        </w:numPr>
        <w:spacing w:before="240" w:after="0"/>
        <w:rPr>
          <w:rFonts w:ascii="Poppins Medium" w:hAnsi="Poppins Medium" w:cs="Poppins Medium"/>
          <w:color w:val="0F4761" w:themeColor="accent1" w:themeShade="BF"/>
          <w:sz w:val="24"/>
          <w:szCs w:val="24"/>
        </w:rPr>
      </w:pPr>
      <w:r w:rsidRPr="00067308">
        <w:rPr>
          <w:rFonts w:ascii="Poppins Medium" w:hAnsi="Poppins Medium" w:cs="Poppins Medium"/>
          <w:color w:val="0F4761" w:themeColor="accent1" w:themeShade="BF"/>
          <w:sz w:val="24"/>
          <w:szCs w:val="24"/>
        </w:rPr>
        <w:t>NIMHD Launches Interventions Portal to Improve Minority Health</w:t>
      </w:r>
    </w:p>
    <w:p w14:paraId="192288BB" w14:textId="47793AEF" w:rsidR="00067308" w:rsidRDefault="00067308" w:rsidP="00067308">
      <w:pPr>
        <w:pStyle w:val="ListParagraph"/>
        <w:ind w:left="360"/>
      </w:pPr>
      <w:r>
        <w:t xml:space="preserve">The National Institute on Minority Health and Health Disparities (NIMHD), a branch of the National Institutes for Health (NIH) under the Department of Health and Human Services (HHS), </w:t>
      </w:r>
      <w:hyperlink r:id="rId16">
        <w:r>
          <w:rPr>
            <w:rStyle w:val="Hyperlink"/>
          </w:rPr>
          <w:t>announce</w:t>
        </w:r>
        <w:r w:rsidRPr="79C30C2A">
          <w:rPr>
            <w:rStyle w:val="Hyperlink"/>
          </w:rPr>
          <w:t>d</w:t>
        </w:r>
      </w:hyperlink>
      <w:r>
        <w:t xml:space="preserve"> the launch of the </w:t>
      </w:r>
      <w:hyperlink r:id="rId17" w:history="1">
        <w:proofErr w:type="spellStart"/>
        <w:r w:rsidRPr="00F11679">
          <w:rPr>
            <w:rStyle w:val="Hyperlink"/>
          </w:rPr>
          <w:t>HD</w:t>
        </w:r>
        <w:r w:rsidRPr="00067308">
          <w:rPr>
            <w:rStyle w:val="Hyperlink"/>
            <w:i/>
            <w:iCs/>
          </w:rPr>
          <w:t>Pulse</w:t>
        </w:r>
        <w:proofErr w:type="spellEnd"/>
        <w:r w:rsidRPr="00F11679">
          <w:rPr>
            <w:rStyle w:val="Hyperlink"/>
          </w:rPr>
          <w:t xml:space="preserve"> Interventions Portal</w:t>
        </w:r>
      </w:hyperlink>
      <w:r>
        <w:t xml:space="preserve">. </w:t>
      </w:r>
      <w:proofErr w:type="spellStart"/>
      <w:r>
        <w:t>HD</w:t>
      </w:r>
      <w:r w:rsidRPr="00067308">
        <w:rPr>
          <w:i/>
          <w:iCs/>
        </w:rPr>
        <w:t>Pulse</w:t>
      </w:r>
      <w:proofErr w:type="spellEnd"/>
      <w:r w:rsidRPr="00067308">
        <w:rPr>
          <w:i/>
          <w:iCs/>
        </w:rPr>
        <w:t xml:space="preserve"> </w:t>
      </w:r>
      <w:r w:rsidRPr="00F11679">
        <w:t>is</w:t>
      </w:r>
      <w:r>
        <w:t xml:space="preserve"> a repository </w:t>
      </w:r>
      <w:r>
        <w:lastRenderedPageBreak/>
        <w:t>of evidence-based interventions and supporting materials and includes important information about the population, geographical location, service location, and disease targeted by the testing of the intervention. This portal aims to close the gap between research and practice for health disparities to improve minority health. NIMHD welcomes researchers to submit research for inclusion on the portal. The portal also provides national-, state-, county-, and territory- level data on minority health and minority disparities with data as far back as 2017.</w:t>
      </w:r>
    </w:p>
    <w:p w14:paraId="3394C71B" w14:textId="77777777" w:rsidR="00067308" w:rsidRDefault="00067308" w:rsidP="00067308">
      <w:pPr>
        <w:pStyle w:val="ListParagraph"/>
        <w:ind w:left="360"/>
      </w:pPr>
    </w:p>
    <w:p w14:paraId="2111609A" w14:textId="77777777" w:rsidR="00067308" w:rsidRPr="00067308" w:rsidRDefault="00067308" w:rsidP="00067308">
      <w:pPr>
        <w:pStyle w:val="ListParagraph"/>
        <w:numPr>
          <w:ilvl w:val="0"/>
          <w:numId w:val="1"/>
        </w:numPr>
        <w:spacing w:before="240" w:after="0"/>
        <w:rPr>
          <w:rFonts w:ascii="Poppins Medium" w:hAnsi="Poppins Medium" w:cs="Poppins Medium"/>
          <w:color w:val="0F4761" w:themeColor="accent1" w:themeShade="BF"/>
          <w:sz w:val="24"/>
          <w:szCs w:val="24"/>
        </w:rPr>
      </w:pPr>
      <w:r w:rsidRPr="00067308">
        <w:rPr>
          <w:rFonts w:ascii="Poppins Medium" w:hAnsi="Poppins Medium" w:cs="Poppins Medium"/>
          <w:color w:val="0F4761" w:themeColor="accent1" w:themeShade="BF"/>
          <w:sz w:val="24"/>
          <w:szCs w:val="24"/>
        </w:rPr>
        <w:t>FDA Approves Updated mRNA COVID-19 Vaccines for 2024-2025</w:t>
      </w:r>
    </w:p>
    <w:p w14:paraId="424EB9CC" w14:textId="480DA4EF" w:rsidR="00067308" w:rsidRDefault="00067308" w:rsidP="00067308">
      <w:pPr>
        <w:pStyle w:val="ListParagraph"/>
        <w:ind w:left="360"/>
      </w:pPr>
      <w:r>
        <w:t>T</w:t>
      </w:r>
      <w:r w:rsidRPr="006359DD">
        <w:t xml:space="preserve">he U.S. Food and Drug Administration (FDA) </w:t>
      </w:r>
      <w:hyperlink r:id="rId18" w:history="1">
        <w:r w:rsidRPr="006359DD">
          <w:rPr>
            <w:rStyle w:val="Hyperlink"/>
          </w:rPr>
          <w:t>granted</w:t>
        </w:r>
      </w:hyperlink>
      <w:r w:rsidRPr="006359DD">
        <w:t xml:space="preserve"> approval and emergency use authorization (EUA) for the 2024-2025 mRNA COVID-19 vaccines. These updated vaccines include a monovalent component targeting the Omicron KP.2 strain of SARS-CoV-2. The updates aim to enhance protection against current variants, reducing the risk of severe COVID-19 outcomes, including hospitalization and death. The newly approved vaccines—Comirnaty and Spikevax—are authorized for individuals aged 12 and older, while the EUA covers the Moderna and Pfizer-BioNTech vaccines for children aged 6 months to 11 years.</w:t>
      </w:r>
      <w:r>
        <w:t xml:space="preserve"> </w:t>
      </w:r>
      <w:r w:rsidRPr="006359DD">
        <w:t xml:space="preserve">The FDA will continue to monitor and assess COVID-19 vaccine compositions annually, </w:t>
      </w:r>
      <w:proofErr w:type="gramStart"/>
      <w:r w:rsidRPr="006359DD">
        <w:t>similar to</w:t>
      </w:r>
      <w:proofErr w:type="gramEnd"/>
      <w:r w:rsidRPr="006359DD">
        <w:t xml:space="preserve"> the process for seasonal flu vaccines.</w:t>
      </w:r>
    </w:p>
    <w:p w14:paraId="4A6FEA36" w14:textId="77777777" w:rsidR="00067308" w:rsidRDefault="00067308" w:rsidP="00067308">
      <w:pPr>
        <w:pStyle w:val="ListParagraph"/>
        <w:ind w:left="360"/>
      </w:pPr>
    </w:p>
    <w:p w14:paraId="1B963F23" w14:textId="77777777" w:rsidR="00067308" w:rsidRPr="00067308" w:rsidRDefault="00067308" w:rsidP="00067308">
      <w:pPr>
        <w:pStyle w:val="ListParagraph"/>
        <w:numPr>
          <w:ilvl w:val="0"/>
          <w:numId w:val="1"/>
        </w:numPr>
        <w:spacing w:before="240" w:after="0"/>
        <w:rPr>
          <w:rFonts w:ascii="Poppins Medium" w:hAnsi="Poppins Medium" w:cs="Poppins Medium"/>
          <w:color w:val="0F4761" w:themeColor="accent1" w:themeShade="BF"/>
          <w:sz w:val="24"/>
          <w:szCs w:val="24"/>
        </w:rPr>
      </w:pPr>
      <w:r w:rsidRPr="00067308">
        <w:rPr>
          <w:rFonts w:ascii="Poppins Medium" w:hAnsi="Poppins Medium" w:cs="Poppins Medium"/>
          <w:color w:val="0F4761" w:themeColor="accent1" w:themeShade="BF"/>
          <w:sz w:val="24"/>
          <w:szCs w:val="24"/>
        </w:rPr>
        <w:t>Texas Federal Judge Blocks FTC Ban on Noncompete Agreements</w:t>
      </w:r>
    </w:p>
    <w:p w14:paraId="38652702" w14:textId="65F0D941" w:rsidR="00067308" w:rsidRDefault="00067308" w:rsidP="00067308">
      <w:pPr>
        <w:pStyle w:val="ListParagraph"/>
        <w:ind w:left="360"/>
      </w:pPr>
      <w:r w:rsidRPr="006B56C2">
        <w:t xml:space="preserve">U.S. District Judge Ada Brown </w:t>
      </w:r>
      <w:hyperlink r:id="rId19" w:history="1">
        <w:r w:rsidRPr="00484A86">
          <w:rPr>
            <w:rStyle w:val="Hyperlink"/>
          </w:rPr>
          <w:t>issued a ruling</w:t>
        </w:r>
      </w:hyperlink>
      <w:r w:rsidRPr="006B56C2">
        <w:t xml:space="preserve"> granting a motion for summary judgment filed by the U.S. Chamber of Commerce, effectively blocking a new Federal Trade Commission (FTC) rule aimed at eliminating noncompete agreements. In </w:t>
      </w:r>
      <w:r>
        <w:t>her</w:t>
      </w:r>
      <w:r w:rsidRPr="006B56C2">
        <w:t xml:space="preserve"> decision, Judge Brown determined that the FTC exceeded its statutory authority </w:t>
      </w:r>
      <w:r>
        <w:t xml:space="preserve">in </w:t>
      </w:r>
      <w:r w:rsidRPr="006B56C2">
        <w:t>the rule, further describing it as arbitrary and capricious. As a result of this ruling, the FTC will be unable to enforce the rule, which was scheduled to take effect on September 4th of this year. However, the decision does not preclude the FTC from addressing noncompete agreements on a case-by-case basis, and the agency has indicated its intent to appeal the ruling.</w:t>
      </w:r>
    </w:p>
    <w:p w14:paraId="512A3DDF" w14:textId="77777777" w:rsidR="00C32E81" w:rsidRDefault="00C32E81" w:rsidP="00C32E81">
      <w:pPr>
        <w:pStyle w:val="ListParagraph"/>
        <w:spacing w:before="240" w:after="0"/>
        <w:ind w:left="360"/>
        <w:rPr>
          <w:rFonts w:cs="Poppins"/>
          <w:color w:val="0F4761" w:themeColor="accent1" w:themeShade="BF"/>
          <w:szCs w:val="20"/>
        </w:rPr>
      </w:pPr>
    </w:p>
    <w:p w14:paraId="3D771607" w14:textId="77777777" w:rsidR="00067308" w:rsidRDefault="00067308" w:rsidP="00067308">
      <w:pPr>
        <w:pStyle w:val="ListParagraph"/>
        <w:numPr>
          <w:ilvl w:val="0"/>
          <w:numId w:val="1"/>
        </w:numPr>
        <w:spacing w:before="240" w:after="0"/>
        <w:rPr>
          <w:rFonts w:ascii="Poppins Medium" w:hAnsi="Poppins Medium" w:cs="Poppins Medium"/>
          <w:color w:val="0F4761" w:themeColor="accent1" w:themeShade="BF"/>
          <w:sz w:val="24"/>
          <w:szCs w:val="24"/>
        </w:rPr>
      </w:pPr>
      <w:r w:rsidRPr="00067308">
        <w:rPr>
          <w:rFonts w:ascii="Poppins Medium" w:hAnsi="Poppins Medium" w:cs="Poppins Medium"/>
          <w:color w:val="0F4761" w:themeColor="accent1" w:themeShade="BF"/>
          <w:sz w:val="24"/>
          <w:szCs w:val="24"/>
        </w:rPr>
        <w:t>New Peterson-KFF Brief Examines Barriers to Healthcare for Consumers</w:t>
      </w:r>
    </w:p>
    <w:p w14:paraId="144CF4D5" w14:textId="77777777" w:rsidR="00067308" w:rsidRDefault="00067308" w:rsidP="00067308">
      <w:pPr>
        <w:pStyle w:val="ListParagraph"/>
        <w:ind w:left="360"/>
      </w:pPr>
      <w:r>
        <w:t xml:space="preserve">Peterson-KFF recently </w:t>
      </w:r>
      <w:hyperlink r:id="rId20" w:history="1">
        <w:r w:rsidRPr="00111FAF">
          <w:rPr>
            <w:rStyle w:val="Hyperlink"/>
          </w:rPr>
          <w:t>published an analysis</w:t>
        </w:r>
      </w:hyperlink>
      <w:r>
        <w:t xml:space="preserve"> examining what the major barriers are to accessing healthcare services for individuals with health insurance coverage. Their research found that w</w:t>
      </w:r>
      <w:r w:rsidRPr="00F529A6">
        <w:t>hile most adults in the U.S. have health insurance</w:t>
      </w:r>
      <w:r>
        <w:t xml:space="preserve"> (91 percent)</w:t>
      </w:r>
      <w:r w:rsidRPr="00F529A6">
        <w:t xml:space="preserve"> and report good health</w:t>
      </w:r>
      <w:r>
        <w:t xml:space="preserve"> (85 percent)</w:t>
      </w:r>
      <w:r w:rsidRPr="00F529A6">
        <w:t xml:space="preserve">, many face barriers accessing medical care, both financial and non-financial. High costs, long wait times, difficulty finding providers, and transportation issues often lead to delays or skipping care. Data from the </w:t>
      </w:r>
      <w:hyperlink r:id="rId21" w:history="1">
        <w:r w:rsidRPr="003330B8">
          <w:rPr>
            <w:rStyle w:val="Hyperlink"/>
          </w:rPr>
          <w:t>2022 National Health Interview Survey</w:t>
        </w:r>
      </w:hyperlink>
      <w:r w:rsidRPr="00F529A6">
        <w:t xml:space="preserve"> shows that about 28</w:t>
      </w:r>
      <w:r>
        <w:t xml:space="preserve"> percent</w:t>
      </w:r>
      <w:r w:rsidRPr="00F529A6">
        <w:t xml:space="preserve"> of adults delayed or went without care due to cost, and 17</w:t>
      </w:r>
      <w:r>
        <w:t xml:space="preserve"> percent</w:t>
      </w:r>
      <w:r w:rsidRPr="00F529A6">
        <w:t xml:space="preserve"> faced non-financial barriers such as unavailable </w:t>
      </w:r>
      <w:r w:rsidRPr="00F529A6">
        <w:lastRenderedPageBreak/>
        <w:t xml:space="preserve">appointments or finding a doctor that accepts their insurance. These barriers are more common among younger adults, those with Medicaid, and individuals with mental health needs or poorer health. Access issues </w:t>
      </w:r>
      <w:r>
        <w:t xml:space="preserve">seem to </w:t>
      </w:r>
      <w:r w:rsidRPr="00F529A6">
        <w:t>vary significantly based on age, insurance type, and health status, reflecting the diverse challenges different populations face in the healthcare system.</w:t>
      </w:r>
      <w:r>
        <w:t xml:space="preserve"> </w:t>
      </w:r>
    </w:p>
    <w:p w14:paraId="7A71522E" w14:textId="77777777" w:rsidR="00067308" w:rsidRDefault="00067308" w:rsidP="00067308">
      <w:pPr>
        <w:pStyle w:val="ListParagraph"/>
        <w:ind w:left="360"/>
      </w:pPr>
    </w:p>
    <w:p w14:paraId="352E95AB" w14:textId="77777777" w:rsidR="00067308" w:rsidRDefault="00067308" w:rsidP="00067308">
      <w:pPr>
        <w:pStyle w:val="ListParagraph"/>
        <w:numPr>
          <w:ilvl w:val="0"/>
          <w:numId w:val="1"/>
        </w:numPr>
        <w:spacing w:before="240" w:after="0"/>
        <w:rPr>
          <w:rFonts w:ascii="Poppins Medium" w:hAnsi="Poppins Medium" w:cs="Poppins Medium"/>
          <w:color w:val="0F4761" w:themeColor="accent1" w:themeShade="BF"/>
          <w:sz w:val="24"/>
          <w:szCs w:val="24"/>
        </w:rPr>
      </w:pPr>
      <w:r w:rsidRPr="00067308">
        <w:rPr>
          <w:rFonts w:ascii="Poppins Medium" w:hAnsi="Poppins Medium" w:cs="Poppins Medium"/>
          <w:color w:val="0F4761" w:themeColor="accent1" w:themeShade="BF"/>
          <w:sz w:val="24"/>
          <w:szCs w:val="24"/>
        </w:rPr>
        <w:t>Brookings Institution Examines Economic Impact of Federal Negotiation of Prescription Drug Prices</w:t>
      </w:r>
    </w:p>
    <w:p w14:paraId="7B019163" w14:textId="77777777" w:rsidR="00067308" w:rsidRPr="00067308" w:rsidRDefault="00067308" w:rsidP="00067308">
      <w:pPr>
        <w:spacing w:after="0"/>
        <w:ind w:left="360"/>
        <w:rPr>
          <w:rFonts w:eastAsia="Arial" w:cs="Poppins"/>
          <w:color w:val="000000" w:themeColor="text1"/>
          <w:sz w:val="18"/>
          <w:szCs w:val="20"/>
        </w:rPr>
      </w:pPr>
      <w:r w:rsidRPr="00067308">
        <w:rPr>
          <w:rFonts w:eastAsia="Arial" w:cs="Poppins"/>
          <w:color w:val="000000" w:themeColor="text1"/>
          <w:szCs w:val="20"/>
        </w:rPr>
        <w:t xml:space="preserve">The Brookings Institution published an </w:t>
      </w:r>
      <w:hyperlink r:id="rId22">
        <w:r w:rsidRPr="00067308">
          <w:rPr>
            <w:rStyle w:val="Hyperlink"/>
            <w:rFonts w:eastAsia="Arial" w:cs="Poppins"/>
            <w:color w:val="007C89"/>
            <w:szCs w:val="20"/>
          </w:rPr>
          <w:t>analysis</w:t>
        </w:r>
      </w:hyperlink>
      <w:r w:rsidRPr="00067308">
        <w:rPr>
          <w:rStyle w:val="Hyperlink"/>
          <w:rFonts w:eastAsia="Arial" w:cs="Poppins"/>
          <w:color w:val="007C89"/>
          <w:szCs w:val="20"/>
        </w:rPr>
        <w:t xml:space="preserve"> </w:t>
      </w:r>
      <w:r w:rsidRPr="00067308">
        <w:rPr>
          <w:rStyle w:val="Hyperlink"/>
          <w:rFonts w:eastAsia="Arial" w:cs="Poppins"/>
          <w:color w:val="auto"/>
          <w:szCs w:val="20"/>
          <w:u w:val="none"/>
        </w:rPr>
        <w:t xml:space="preserve">that found </w:t>
      </w:r>
      <w:r w:rsidRPr="00067308">
        <w:rPr>
          <w:rFonts w:eastAsia="Arial" w:cs="Poppins"/>
          <w:color w:val="000000" w:themeColor="text1"/>
          <w:szCs w:val="20"/>
        </w:rPr>
        <w:t xml:space="preserve">the estimated savings from negotiations on brand-name prescription drug prices for the Medicare Part D program are significant, with the Centers for Medicare and Medicaid Services (CMS) projecting a $6 billion reduction in spending – 22 percent less than the estimated total. This analysis comes after the first set of negotiations </w:t>
      </w:r>
      <w:hyperlink r:id="rId23">
        <w:r w:rsidRPr="00067308">
          <w:rPr>
            <w:rStyle w:val="Hyperlink"/>
            <w:rFonts w:eastAsia="Arial" w:cs="Poppins"/>
            <w:color w:val="007C89"/>
            <w:szCs w:val="20"/>
          </w:rPr>
          <w:t>has been completed</w:t>
        </w:r>
      </w:hyperlink>
      <w:r w:rsidRPr="00067308">
        <w:rPr>
          <w:rFonts w:eastAsia="Arial" w:cs="Poppins"/>
          <w:color w:val="000000" w:themeColor="text1"/>
          <w:szCs w:val="20"/>
        </w:rPr>
        <w:t>, setting the 2026 Maximum Fair Prices (MFP) for 10 selected drugs. These negotiations were enabled by the Inflation Reduction Act (IRA), which amended a previous law that prohibited Medicare from negotiating drug prices. According to Brookings, the savings largely stem from the difference between pre-IRA negotiated prices by Part D plans and the new prices established under the IRA. The analysis shows that the greatest savings were achieved for drugs with the least competition before the IRA, such as Stelara, Enbrel, and Imbruvica. Overall, the ability of the CMS to negotiate these prices is expected to lead to growing savings as the program expands in the future.</w:t>
      </w:r>
    </w:p>
    <w:p w14:paraId="32997099" w14:textId="77777777" w:rsidR="007475C0" w:rsidRPr="00500ECF" w:rsidRDefault="007475C0" w:rsidP="00C543D9">
      <w:pPr>
        <w:spacing w:after="0" w:line="240" w:lineRule="auto"/>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t>What’s on Tap</w:t>
      </w:r>
    </w:p>
    <w:p w14:paraId="666D8D38" w14:textId="1FDD42D1" w:rsidR="004815F6" w:rsidRPr="004815F6" w:rsidRDefault="007457BD" w:rsidP="004815F6">
      <w:pPr>
        <w:pStyle w:val="ListParagraph"/>
        <w:numPr>
          <w:ilvl w:val="0"/>
          <w:numId w:val="27"/>
        </w:numPr>
        <w:rPr>
          <w:rFonts w:eastAsia="Calibri" w:cs="Poppins"/>
          <w:bCs/>
          <w:color w:val="000000"/>
          <w:szCs w:val="20"/>
        </w:rPr>
      </w:pPr>
      <w:r w:rsidRPr="007457BD">
        <w:rPr>
          <w:rFonts w:eastAsia="Calibri" w:cs="Poppins"/>
          <w:bCs/>
          <w:color w:val="000000"/>
          <w:szCs w:val="20"/>
        </w:rPr>
        <w:t>Both the Senate and House have left for their summer recess and will</w:t>
      </w:r>
      <w:r w:rsidR="004815F6">
        <w:rPr>
          <w:rFonts w:eastAsia="Calibri" w:cs="Poppins"/>
          <w:bCs/>
          <w:color w:val="000000"/>
          <w:szCs w:val="20"/>
        </w:rPr>
        <w:t xml:space="preserve"> return </w:t>
      </w:r>
      <w:r w:rsidR="004815F6" w:rsidRPr="004815F6">
        <w:rPr>
          <w:rFonts w:eastAsia="Calibri" w:cs="Poppins"/>
          <w:bCs/>
          <w:color w:val="000000"/>
          <w:szCs w:val="20"/>
        </w:rPr>
        <w:t>September 9</w:t>
      </w:r>
      <w:r w:rsidR="004815F6" w:rsidRPr="004815F6">
        <w:rPr>
          <w:rFonts w:eastAsia="Calibri" w:cs="Poppins"/>
          <w:bCs/>
          <w:color w:val="000000"/>
          <w:szCs w:val="20"/>
          <w:vertAlign w:val="superscript"/>
        </w:rPr>
        <w:t>th</w:t>
      </w:r>
      <w:r w:rsidR="004815F6" w:rsidRPr="004815F6">
        <w:rPr>
          <w:rFonts w:eastAsia="Calibri" w:cs="Poppins"/>
          <w:bCs/>
          <w:color w:val="000000"/>
          <w:szCs w:val="20"/>
        </w:rPr>
        <w:t>.</w:t>
      </w:r>
    </w:p>
    <w:p w14:paraId="73F394A2" w14:textId="77777777" w:rsidR="004815F6" w:rsidRDefault="004815F6" w:rsidP="004815F6">
      <w:pPr>
        <w:pStyle w:val="ListParagraph"/>
        <w:pBdr>
          <w:top w:val="nil"/>
          <w:left w:val="nil"/>
          <w:bottom w:val="nil"/>
          <w:right w:val="nil"/>
          <w:between w:val="nil"/>
        </w:pBdr>
        <w:rPr>
          <w:rFonts w:eastAsia="Calibri" w:cs="Poppins"/>
          <w:bCs/>
          <w:color w:val="000000"/>
          <w:szCs w:val="20"/>
        </w:rPr>
      </w:pPr>
    </w:p>
    <w:p w14:paraId="27CDAC35" w14:textId="64498802" w:rsidR="004815F6" w:rsidRPr="004815F6" w:rsidRDefault="004815F6" w:rsidP="004815F6">
      <w:pPr>
        <w:pStyle w:val="ListParagraph"/>
        <w:numPr>
          <w:ilvl w:val="0"/>
          <w:numId w:val="27"/>
        </w:numPr>
        <w:pBdr>
          <w:top w:val="nil"/>
          <w:left w:val="nil"/>
          <w:bottom w:val="nil"/>
          <w:right w:val="nil"/>
          <w:between w:val="nil"/>
        </w:pBdr>
        <w:rPr>
          <w:rFonts w:eastAsia="Calibri" w:cs="Poppins"/>
          <w:bCs/>
          <w:color w:val="000000"/>
          <w:szCs w:val="20"/>
        </w:rPr>
      </w:pPr>
      <w:r w:rsidRPr="004815F6">
        <w:rPr>
          <w:rFonts w:eastAsia="Calibri" w:cs="Poppins"/>
          <w:bCs/>
          <w:color w:val="000000"/>
          <w:szCs w:val="20"/>
        </w:rPr>
        <w:t xml:space="preserve">The </w:t>
      </w:r>
      <w:hyperlink r:id="rId24" w:history="1">
        <w:r w:rsidRPr="004815F6">
          <w:rPr>
            <w:rStyle w:val="Hyperlink"/>
            <w:rFonts w:eastAsia="Calibri" w:cs="Poppins"/>
            <w:bCs/>
            <w:szCs w:val="20"/>
          </w:rPr>
          <w:t>Democratic National Convention</w:t>
        </w:r>
      </w:hyperlink>
      <w:r w:rsidRPr="004815F6">
        <w:rPr>
          <w:rFonts w:eastAsia="Calibri" w:cs="Poppins"/>
          <w:bCs/>
          <w:color w:val="000000"/>
          <w:szCs w:val="20"/>
        </w:rPr>
        <w:t xml:space="preserve"> was held last week, in Chicago, where Vice President Kamala Harris was officially recognized as the Democratic nominee for President, accompanied by Minnesota Governor Tim Walz as her running mate. In her acceptance speech on Thursday night, Harris promised supporters that she would defend the Affordable Care Act and Medicare, lower health care costs, and ensure access to abortions nationwide. Harris further highlighted her role in the Biden Administration’s response to the Supreme Court’s </w:t>
      </w:r>
      <w:r w:rsidRPr="004815F6">
        <w:rPr>
          <w:rFonts w:eastAsia="Calibri" w:cs="Poppins"/>
          <w:bCs/>
          <w:i/>
          <w:iCs/>
          <w:color w:val="000000"/>
          <w:szCs w:val="20"/>
        </w:rPr>
        <w:t xml:space="preserve">Dobbs </w:t>
      </w:r>
      <w:r w:rsidRPr="004815F6">
        <w:rPr>
          <w:rFonts w:eastAsia="Calibri" w:cs="Poppins"/>
          <w:bCs/>
          <w:color w:val="000000"/>
          <w:szCs w:val="20"/>
        </w:rPr>
        <w:t>decision, contrasting herself with GOP presidential nominee Donald Trump’s stance on reproductive rights.</w:t>
      </w:r>
    </w:p>
    <w:p w14:paraId="17599F86" w14:textId="77777777" w:rsidR="004815F6" w:rsidRDefault="004815F6" w:rsidP="004815F6">
      <w:pPr>
        <w:pStyle w:val="ListParagraph"/>
        <w:pBdr>
          <w:top w:val="nil"/>
          <w:left w:val="nil"/>
          <w:bottom w:val="nil"/>
          <w:right w:val="nil"/>
          <w:between w:val="nil"/>
        </w:pBdr>
        <w:rPr>
          <w:rFonts w:eastAsia="Calibri" w:cs="Poppins"/>
          <w:bCs/>
          <w:color w:val="000000"/>
          <w:szCs w:val="20"/>
        </w:rPr>
      </w:pPr>
    </w:p>
    <w:p w14:paraId="6AAA4491" w14:textId="18087412" w:rsidR="004815F6" w:rsidRPr="004815F6" w:rsidRDefault="004815F6" w:rsidP="004815F6">
      <w:pPr>
        <w:pStyle w:val="ListParagraph"/>
        <w:numPr>
          <w:ilvl w:val="0"/>
          <w:numId w:val="27"/>
        </w:numPr>
        <w:pBdr>
          <w:top w:val="nil"/>
          <w:left w:val="nil"/>
          <w:bottom w:val="nil"/>
          <w:right w:val="nil"/>
          <w:between w:val="nil"/>
        </w:pBdr>
        <w:rPr>
          <w:rFonts w:eastAsia="Calibri" w:cs="Poppins"/>
          <w:bCs/>
          <w:color w:val="000000"/>
          <w:szCs w:val="20"/>
        </w:rPr>
      </w:pPr>
      <w:r w:rsidRPr="004815F6">
        <w:rPr>
          <w:rFonts w:eastAsia="Calibri" w:cs="Poppins"/>
          <w:bCs/>
          <w:color w:val="000000"/>
          <w:szCs w:val="20"/>
        </w:rPr>
        <w:t xml:space="preserve">Last week, the Harris Campaign </w:t>
      </w:r>
      <w:hyperlink r:id="rId25" w:history="1">
        <w:r w:rsidRPr="004815F6">
          <w:rPr>
            <w:rStyle w:val="Hyperlink"/>
            <w:rFonts w:eastAsia="Calibri" w:cs="Poppins"/>
            <w:bCs/>
            <w:szCs w:val="20"/>
          </w:rPr>
          <w:t>began releasing</w:t>
        </w:r>
      </w:hyperlink>
      <w:r w:rsidRPr="004815F6">
        <w:rPr>
          <w:rFonts w:eastAsia="Calibri" w:cs="Poppins"/>
          <w:bCs/>
          <w:color w:val="000000"/>
          <w:szCs w:val="20"/>
        </w:rPr>
        <w:t xml:space="preserve"> several proposals for her first 100 days in office, focusing on bringing down costs for American families. While healthcare proposals were lacking in the announcements, Harris indicated that she aims take the Inflation Reduction Act further, capping the cost of insulin at $35 and </w:t>
      </w:r>
      <w:r w:rsidRPr="004815F6">
        <w:rPr>
          <w:rFonts w:eastAsia="Calibri" w:cs="Poppins"/>
          <w:bCs/>
          <w:color w:val="000000"/>
          <w:szCs w:val="20"/>
        </w:rPr>
        <w:lastRenderedPageBreak/>
        <w:t xml:space="preserve">out-of-pocket expenses for prescription drugs at $2,000 for everyone, not just seniors. Harris also promised to build upon the work of the Biden-Harris Administration’s Medicare prescription drug price negotiations by allowing Medicare to accelerate the speed of negotiations, beginning in 2026. Vice President Harris and Governor Tim Walz also announced that a cornerstone of their healthcare platform will center around working with states to cancel medical debt for Americans, building upon Harris’ work with </w:t>
      </w:r>
      <w:hyperlink r:id="rId26" w:anchor=":~:text=Thanks%20to%20the%20American%20Rescue%20Plan%20(ARP)%2C%20states%2C,up%20to%201%20million%20Arizonans." w:history="1">
        <w:r w:rsidRPr="004815F6">
          <w:rPr>
            <w:rStyle w:val="Hyperlink"/>
            <w:rFonts w:eastAsia="Calibri" w:cs="Poppins"/>
            <w:bCs/>
            <w:szCs w:val="20"/>
          </w:rPr>
          <w:t>the American Rescue Plan</w:t>
        </w:r>
      </w:hyperlink>
      <w:r w:rsidRPr="004815F6">
        <w:rPr>
          <w:rFonts w:eastAsia="Calibri" w:cs="Poppins"/>
          <w:bCs/>
          <w:color w:val="000000"/>
          <w:szCs w:val="20"/>
        </w:rPr>
        <w:t xml:space="preserve">, which canceled $7 billion of medical debt for 3 million Americans. Vice President Harris is expected to continue to roll out her policy agenda in the coming weeks and days. </w:t>
      </w:r>
    </w:p>
    <w:p w14:paraId="47C70AF1" w14:textId="77777777" w:rsidR="004815F6" w:rsidRDefault="004815F6" w:rsidP="004815F6">
      <w:pPr>
        <w:pStyle w:val="ListParagraph"/>
        <w:pBdr>
          <w:top w:val="nil"/>
          <w:left w:val="nil"/>
          <w:bottom w:val="nil"/>
          <w:right w:val="nil"/>
          <w:between w:val="nil"/>
        </w:pBdr>
        <w:rPr>
          <w:rFonts w:eastAsia="Calibri" w:cs="Poppins"/>
          <w:bCs/>
          <w:color w:val="000000"/>
          <w:szCs w:val="20"/>
        </w:rPr>
      </w:pPr>
    </w:p>
    <w:p w14:paraId="002DCD3E" w14:textId="6299F7DF" w:rsidR="004815F6" w:rsidRPr="004815F6" w:rsidRDefault="004815F6" w:rsidP="004815F6">
      <w:pPr>
        <w:pStyle w:val="ListParagraph"/>
        <w:numPr>
          <w:ilvl w:val="0"/>
          <w:numId w:val="27"/>
        </w:numPr>
        <w:pBdr>
          <w:top w:val="nil"/>
          <w:left w:val="nil"/>
          <w:bottom w:val="nil"/>
          <w:right w:val="nil"/>
          <w:between w:val="nil"/>
        </w:pBdr>
        <w:rPr>
          <w:rFonts w:eastAsia="Calibri" w:cs="Poppins"/>
          <w:bCs/>
          <w:color w:val="000000"/>
          <w:szCs w:val="20"/>
        </w:rPr>
      </w:pPr>
      <w:r w:rsidRPr="004815F6">
        <w:rPr>
          <w:rFonts w:eastAsia="Calibri" w:cs="Poppins"/>
          <w:bCs/>
          <w:color w:val="000000"/>
          <w:szCs w:val="20"/>
        </w:rPr>
        <w:t xml:space="preserve">On Friday of last week, third party presidential candidate Robert F. Kennedy Jr. </w:t>
      </w:r>
      <w:hyperlink r:id="rId27" w:history="1">
        <w:r w:rsidRPr="004815F6">
          <w:rPr>
            <w:rStyle w:val="Hyperlink"/>
            <w:rFonts w:eastAsia="Calibri" w:cs="Poppins"/>
            <w:bCs/>
            <w:szCs w:val="20"/>
          </w:rPr>
          <w:t>suspended his campaign</w:t>
        </w:r>
      </w:hyperlink>
      <w:r w:rsidRPr="004815F6">
        <w:rPr>
          <w:rFonts w:eastAsia="Calibri" w:cs="Poppins"/>
          <w:bCs/>
          <w:color w:val="000000"/>
          <w:szCs w:val="20"/>
        </w:rPr>
        <w:t xml:space="preserve"> and endorsed GOP presidential nominee Donald Trump. Kennedy first entered the 2024 presidential race as a Democrat but exited the party late last fall to run as an independent. Prior to the suspension of his campaign, Kennedy was polling notably higher than previous third-party candidates, with polls showing him capturing approximately 9 percent of American voters. Republicans were found to be significantly more likely than Democrats to </w:t>
      </w:r>
      <w:hyperlink r:id="rId28" w:history="1">
        <w:r w:rsidRPr="004815F6">
          <w:rPr>
            <w:rStyle w:val="Hyperlink"/>
            <w:rFonts w:eastAsia="Calibri" w:cs="Poppins"/>
            <w:bCs/>
            <w:szCs w:val="20"/>
          </w:rPr>
          <w:t>have a favorable opinion</w:t>
        </w:r>
      </w:hyperlink>
      <w:r w:rsidRPr="004815F6">
        <w:rPr>
          <w:rFonts w:eastAsia="Calibri" w:cs="Poppins"/>
          <w:bCs/>
          <w:color w:val="000000"/>
          <w:szCs w:val="20"/>
        </w:rPr>
        <w:t xml:space="preserve"> of Kennedy, indicating that his endorsement of Trump could provide the campaign with a bump in the polls. These events set the stage for the first Presidential Debate following President Biden exiting the race, which is scheduled for Tuesday, September 10</w:t>
      </w:r>
      <w:r w:rsidRPr="004815F6">
        <w:rPr>
          <w:rFonts w:eastAsia="Calibri" w:cs="Poppins"/>
          <w:bCs/>
          <w:color w:val="000000"/>
          <w:szCs w:val="20"/>
          <w:vertAlign w:val="superscript"/>
        </w:rPr>
        <w:t>th</w:t>
      </w:r>
      <w:r w:rsidRPr="004815F6">
        <w:rPr>
          <w:rFonts w:eastAsia="Calibri" w:cs="Poppins"/>
          <w:bCs/>
          <w:color w:val="000000"/>
          <w:szCs w:val="20"/>
        </w:rPr>
        <w:t xml:space="preserve">, at 9:00pm ET. </w:t>
      </w:r>
    </w:p>
    <w:p w14:paraId="068C2106" w14:textId="13CF8D97" w:rsidR="005777A8" w:rsidRPr="007457BD" w:rsidRDefault="005777A8" w:rsidP="004815F6">
      <w:pPr>
        <w:pStyle w:val="ListParagraph"/>
        <w:pBdr>
          <w:top w:val="nil"/>
          <w:left w:val="nil"/>
          <w:bottom w:val="nil"/>
          <w:right w:val="nil"/>
          <w:between w:val="nil"/>
        </w:pBdr>
        <w:rPr>
          <w:rFonts w:eastAsiaTheme="minorEastAsia" w:cs="Poppins"/>
          <w:color w:val="000000" w:themeColor="text1"/>
          <w:szCs w:val="20"/>
        </w:rPr>
      </w:pPr>
    </w:p>
    <w:p w14:paraId="2D79E252" w14:textId="77777777" w:rsidR="005777A8" w:rsidRPr="007457BD" w:rsidRDefault="005777A8" w:rsidP="005777A8">
      <w:pPr>
        <w:spacing w:after="240"/>
        <w:rPr>
          <w:rFonts w:eastAsiaTheme="minorEastAsia" w:cs="Poppins"/>
          <w:color w:val="000000" w:themeColor="text1"/>
          <w:szCs w:val="20"/>
        </w:rPr>
      </w:pPr>
    </w:p>
    <w:p w14:paraId="7D72563E" w14:textId="77777777" w:rsidR="005777A8" w:rsidRPr="007457BD" w:rsidRDefault="005777A8" w:rsidP="005777A8">
      <w:pPr>
        <w:spacing w:after="240"/>
        <w:rPr>
          <w:rFonts w:eastAsiaTheme="minorEastAsia" w:cs="Poppins"/>
          <w:color w:val="000000" w:themeColor="text1"/>
          <w:szCs w:val="20"/>
        </w:rPr>
      </w:pPr>
    </w:p>
    <w:p w14:paraId="1BCD4CEF" w14:textId="77777777" w:rsidR="005777A8" w:rsidRPr="007457BD" w:rsidRDefault="005777A8" w:rsidP="005777A8">
      <w:pPr>
        <w:spacing w:after="240"/>
        <w:rPr>
          <w:rFonts w:eastAsiaTheme="minorEastAsia" w:cs="Poppins"/>
          <w:color w:val="000000" w:themeColor="text1"/>
          <w:szCs w:val="20"/>
        </w:rPr>
      </w:pPr>
    </w:p>
    <w:p w14:paraId="15307838" w14:textId="77777777" w:rsidR="00C32E81" w:rsidRDefault="00C32E81" w:rsidP="005777A8">
      <w:pPr>
        <w:spacing w:after="240"/>
        <w:rPr>
          <w:rFonts w:eastAsiaTheme="minorEastAsia" w:cs="Poppins"/>
          <w:color w:val="000000" w:themeColor="text1"/>
          <w:szCs w:val="18"/>
        </w:rPr>
      </w:pPr>
    </w:p>
    <w:p w14:paraId="08321138" w14:textId="77777777" w:rsidR="004815F6" w:rsidRDefault="004815F6" w:rsidP="005777A8">
      <w:pPr>
        <w:spacing w:after="240"/>
        <w:rPr>
          <w:rFonts w:eastAsiaTheme="minorEastAsia" w:cs="Poppins"/>
          <w:color w:val="000000" w:themeColor="text1"/>
          <w:szCs w:val="18"/>
        </w:rPr>
      </w:pPr>
    </w:p>
    <w:p w14:paraId="35A16AF7" w14:textId="77777777" w:rsidR="004815F6" w:rsidRDefault="004815F6" w:rsidP="005777A8">
      <w:pPr>
        <w:spacing w:after="240"/>
        <w:rPr>
          <w:rFonts w:eastAsiaTheme="minorEastAsia" w:cs="Poppins"/>
          <w:color w:val="000000" w:themeColor="text1"/>
          <w:szCs w:val="18"/>
        </w:rPr>
      </w:pPr>
    </w:p>
    <w:p w14:paraId="5914B5DF" w14:textId="77777777" w:rsidR="00C32E81" w:rsidRPr="005554AE" w:rsidRDefault="00C32E81" w:rsidP="005777A8">
      <w:pPr>
        <w:spacing w:after="240"/>
        <w:rPr>
          <w:rFonts w:eastAsiaTheme="minorEastAsia" w:cs="Poppins"/>
          <w:color w:val="000000" w:themeColor="text1"/>
          <w:szCs w:val="18"/>
        </w:rPr>
      </w:pPr>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7A5C3A05">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31"/>
      <w:footerReference w:type="default" r:id="rId32"/>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C2681" w14:textId="77777777" w:rsidR="002B59A8" w:rsidRDefault="002B59A8">
      <w:pPr>
        <w:spacing w:after="0" w:line="240" w:lineRule="auto"/>
      </w:pPr>
      <w:r>
        <w:separator/>
      </w:r>
    </w:p>
  </w:endnote>
  <w:endnote w:type="continuationSeparator" w:id="0">
    <w:p w14:paraId="0B3AD5B3" w14:textId="77777777" w:rsidR="002B59A8" w:rsidRDefault="002B5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Nirmala UI"/>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50F89"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24D69" w14:textId="77777777" w:rsidR="002B59A8" w:rsidRDefault="002B59A8">
      <w:pPr>
        <w:spacing w:after="0" w:line="240" w:lineRule="auto"/>
      </w:pPr>
      <w:r>
        <w:separator/>
      </w:r>
    </w:p>
  </w:footnote>
  <w:footnote w:type="continuationSeparator" w:id="0">
    <w:p w14:paraId="5E37156F" w14:textId="77777777" w:rsidR="002B59A8" w:rsidRDefault="002B5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6"/>
  </w:num>
  <w:num w:numId="2" w16cid:durableId="127743416">
    <w:abstractNumId w:val="23"/>
  </w:num>
  <w:num w:numId="3" w16cid:durableId="1916818253">
    <w:abstractNumId w:val="24"/>
  </w:num>
  <w:num w:numId="4" w16cid:durableId="1562860064">
    <w:abstractNumId w:val="14"/>
  </w:num>
  <w:num w:numId="5" w16cid:durableId="747187781">
    <w:abstractNumId w:val="20"/>
  </w:num>
  <w:num w:numId="6" w16cid:durableId="360473614">
    <w:abstractNumId w:val="11"/>
  </w:num>
  <w:num w:numId="7" w16cid:durableId="2074813228">
    <w:abstractNumId w:val="21"/>
  </w:num>
  <w:num w:numId="8" w16cid:durableId="612904506">
    <w:abstractNumId w:val="5"/>
  </w:num>
  <w:num w:numId="9" w16cid:durableId="941183654">
    <w:abstractNumId w:val="22"/>
  </w:num>
  <w:num w:numId="10" w16cid:durableId="916745150">
    <w:abstractNumId w:val="12"/>
  </w:num>
  <w:num w:numId="11" w16cid:durableId="1211113321">
    <w:abstractNumId w:val="13"/>
  </w:num>
  <w:num w:numId="12" w16cid:durableId="444888970">
    <w:abstractNumId w:val="16"/>
  </w:num>
  <w:num w:numId="13" w16cid:durableId="1860123175">
    <w:abstractNumId w:val="7"/>
  </w:num>
  <w:num w:numId="14" w16cid:durableId="31660070">
    <w:abstractNumId w:val="10"/>
  </w:num>
  <w:num w:numId="15" w16cid:durableId="1157381680">
    <w:abstractNumId w:val="25"/>
  </w:num>
  <w:num w:numId="16" w16cid:durableId="2024474500">
    <w:abstractNumId w:val="2"/>
  </w:num>
  <w:num w:numId="17" w16cid:durableId="158468993">
    <w:abstractNumId w:val="15"/>
  </w:num>
  <w:num w:numId="18" w16cid:durableId="51200545">
    <w:abstractNumId w:val="0"/>
  </w:num>
  <w:num w:numId="19" w16cid:durableId="821049104">
    <w:abstractNumId w:val="3"/>
  </w:num>
  <w:num w:numId="20" w16cid:durableId="1487672424">
    <w:abstractNumId w:val="8"/>
  </w:num>
  <w:num w:numId="21" w16cid:durableId="1602059276">
    <w:abstractNumId w:val="4"/>
  </w:num>
  <w:num w:numId="22" w16cid:durableId="47806563">
    <w:abstractNumId w:val="6"/>
  </w:num>
  <w:num w:numId="23" w16cid:durableId="305356633">
    <w:abstractNumId w:val="19"/>
  </w:num>
  <w:num w:numId="24" w16cid:durableId="678628084">
    <w:abstractNumId w:val="17"/>
  </w:num>
  <w:num w:numId="25" w16cid:durableId="1807039519">
    <w:abstractNumId w:val="9"/>
  </w:num>
  <w:num w:numId="26" w16cid:durableId="106318828">
    <w:abstractNumId w:val="18"/>
  </w:num>
  <w:num w:numId="27" w16cid:durableId="705638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1139FB"/>
    <w:rsid w:val="0011568D"/>
    <w:rsid w:val="00120C4B"/>
    <w:rsid w:val="0012379B"/>
    <w:rsid w:val="00126FE3"/>
    <w:rsid w:val="00133E00"/>
    <w:rsid w:val="001371D5"/>
    <w:rsid w:val="00141BD7"/>
    <w:rsid w:val="0015610B"/>
    <w:rsid w:val="00170AD9"/>
    <w:rsid w:val="00171D37"/>
    <w:rsid w:val="0018604A"/>
    <w:rsid w:val="001903AC"/>
    <w:rsid w:val="00193422"/>
    <w:rsid w:val="001969C9"/>
    <w:rsid w:val="001A4A3F"/>
    <w:rsid w:val="001D4903"/>
    <w:rsid w:val="00220477"/>
    <w:rsid w:val="00226ACA"/>
    <w:rsid w:val="00266E15"/>
    <w:rsid w:val="00273583"/>
    <w:rsid w:val="0027672E"/>
    <w:rsid w:val="002826A6"/>
    <w:rsid w:val="00286B7D"/>
    <w:rsid w:val="00295944"/>
    <w:rsid w:val="002B59A8"/>
    <w:rsid w:val="002E1270"/>
    <w:rsid w:val="002E15F2"/>
    <w:rsid w:val="002F004A"/>
    <w:rsid w:val="00310E21"/>
    <w:rsid w:val="00330820"/>
    <w:rsid w:val="00357A9C"/>
    <w:rsid w:val="00390A90"/>
    <w:rsid w:val="003C28F2"/>
    <w:rsid w:val="003D5D0C"/>
    <w:rsid w:val="00405BFA"/>
    <w:rsid w:val="00443633"/>
    <w:rsid w:val="00451283"/>
    <w:rsid w:val="0046695A"/>
    <w:rsid w:val="0047795D"/>
    <w:rsid w:val="004815F6"/>
    <w:rsid w:val="004B29FC"/>
    <w:rsid w:val="004C7BB5"/>
    <w:rsid w:val="004D15B9"/>
    <w:rsid w:val="004D16A4"/>
    <w:rsid w:val="004F260C"/>
    <w:rsid w:val="004F700C"/>
    <w:rsid w:val="005000B1"/>
    <w:rsid w:val="00500ECF"/>
    <w:rsid w:val="00540E02"/>
    <w:rsid w:val="005418D5"/>
    <w:rsid w:val="005554AE"/>
    <w:rsid w:val="005777A8"/>
    <w:rsid w:val="005828B4"/>
    <w:rsid w:val="005A6EEF"/>
    <w:rsid w:val="005C43DF"/>
    <w:rsid w:val="00606A05"/>
    <w:rsid w:val="00612F79"/>
    <w:rsid w:val="00614EFF"/>
    <w:rsid w:val="00615D8C"/>
    <w:rsid w:val="00624E9D"/>
    <w:rsid w:val="006258FD"/>
    <w:rsid w:val="00656DE9"/>
    <w:rsid w:val="00657D1D"/>
    <w:rsid w:val="006622DA"/>
    <w:rsid w:val="006710C0"/>
    <w:rsid w:val="00686BDF"/>
    <w:rsid w:val="006B6E77"/>
    <w:rsid w:val="0071082E"/>
    <w:rsid w:val="0072131F"/>
    <w:rsid w:val="00733CC7"/>
    <w:rsid w:val="00736378"/>
    <w:rsid w:val="00742A7E"/>
    <w:rsid w:val="007457BD"/>
    <w:rsid w:val="007475C0"/>
    <w:rsid w:val="0075315A"/>
    <w:rsid w:val="00754D4E"/>
    <w:rsid w:val="00791F13"/>
    <w:rsid w:val="00797007"/>
    <w:rsid w:val="007A1522"/>
    <w:rsid w:val="007C09BF"/>
    <w:rsid w:val="007E4E3A"/>
    <w:rsid w:val="007E63EA"/>
    <w:rsid w:val="00814EEF"/>
    <w:rsid w:val="008565CE"/>
    <w:rsid w:val="00882C7E"/>
    <w:rsid w:val="008A1F3D"/>
    <w:rsid w:val="008A46E3"/>
    <w:rsid w:val="008A5D11"/>
    <w:rsid w:val="008C4D88"/>
    <w:rsid w:val="008C52D4"/>
    <w:rsid w:val="008E496E"/>
    <w:rsid w:val="00947D84"/>
    <w:rsid w:val="00952320"/>
    <w:rsid w:val="0096120A"/>
    <w:rsid w:val="009A0A17"/>
    <w:rsid w:val="009A5BED"/>
    <w:rsid w:val="009D03D3"/>
    <w:rsid w:val="009D4885"/>
    <w:rsid w:val="009D5ECF"/>
    <w:rsid w:val="009E143A"/>
    <w:rsid w:val="009E754B"/>
    <w:rsid w:val="00A106A5"/>
    <w:rsid w:val="00A34162"/>
    <w:rsid w:val="00A66668"/>
    <w:rsid w:val="00A73302"/>
    <w:rsid w:val="00A97B81"/>
    <w:rsid w:val="00AA24EE"/>
    <w:rsid w:val="00AC375B"/>
    <w:rsid w:val="00B17242"/>
    <w:rsid w:val="00B257B0"/>
    <w:rsid w:val="00B33654"/>
    <w:rsid w:val="00B36B2C"/>
    <w:rsid w:val="00B52071"/>
    <w:rsid w:val="00B712E4"/>
    <w:rsid w:val="00B85121"/>
    <w:rsid w:val="00B9262A"/>
    <w:rsid w:val="00B92E39"/>
    <w:rsid w:val="00BA2D7E"/>
    <w:rsid w:val="00BA4207"/>
    <w:rsid w:val="00BC67B5"/>
    <w:rsid w:val="00BD277B"/>
    <w:rsid w:val="00BD3602"/>
    <w:rsid w:val="00BD400A"/>
    <w:rsid w:val="00BE2FE6"/>
    <w:rsid w:val="00BF35ED"/>
    <w:rsid w:val="00C01848"/>
    <w:rsid w:val="00C24621"/>
    <w:rsid w:val="00C32E81"/>
    <w:rsid w:val="00C43DBD"/>
    <w:rsid w:val="00C543D9"/>
    <w:rsid w:val="00C6549F"/>
    <w:rsid w:val="00C65C71"/>
    <w:rsid w:val="00C9682A"/>
    <w:rsid w:val="00CA3842"/>
    <w:rsid w:val="00CB3B30"/>
    <w:rsid w:val="00CD08CB"/>
    <w:rsid w:val="00CD4912"/>
    <w:rsid w:val="00CF61A3"/>
    <w:rsid w:val="00CF680F"/>
    <w:rsid w:val="00D11B23"/>
    <w:rsid w:val="00D31D3B"/>
    <w:rsid w:val="00D331DD"/>
    <w:rsid w:val="00D726C0"/>
    <w:rsid w:val="00DA483A"/>
    <w:rsid w:val="00E007ED"/>
    <w:rsid w:val="00E139E6"/>
    <w:rsid w:val="00E17D68"/>
    <w:rsid w:val="00E33A26"/>
    <w:rsid w:val="00E609D1"/>
    <w:rsid w:val="00E756C7"/>
    <w:rsid w:val="00E76838"/>
    <w:rsid w:val="00E83686"/>
    <w:rsid w:val="00EB3B75"/>
    <w:rsid w:val="00EC0A64"/>
    <w:rsid w:val="00EC72B9"/>
    <w:rsid w:val="00EF1D87"/>
    <w:rsid w:val="00F00E34"/>
    <w:rsid w:val="00F15D36"/>
    <w:rsid w:val="00F2297C"/>
    <w:rsid w:val="00F3386B"/>
    <w:rsid w:val="00F34182"/>
    <w:rsid w:val="00F53332"/>
    <w:rsid w:val="00F53A3C"/>
    <w:rsid w:val="00F54C3A"/>
    <w:rsid w:val="00F566BA"/>
    <w:rsid w:val="00F57DAC"/>
    <w:rsid w:val="00F6455D"/>
    <w:rsid w:val="00F87569"/>
    <w:rsid w:val="00FC1952"/>
    <w:rsid w:val="00FE6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hs.gov/about/news/2024/05/06/covid-19-vaccination-public-education-campaign-saved-thousands-lives-billions-dollars.html" TargetMode="External"/><Relationship Id="rId18" Type="http://schemas.openxmlformats.org/officeDocument/2006/relationships/hyperlink" Target="https://www.fda.gov/news-events/press-announcements/fda-approves-and-authorizes-updated-mrna-covid-19-vaccines-better-protect-against-currently" TargetMode="External"/><Relationship Id="rId26" Type="http://schemas.openxmlformats.org/officeDocument/2006/relationships/hyperlink" Target="https://www.whitehouse.gov/briefing-room/statements-releases/2024/06/11/fact-sheet-vice-president-harris-announces-proposal-to-prohibit-medical-bills-from-being-included-on-credit-reports-and-calls-on-states-and-localities-to-take-further-actions-to-reduce-medical-debt/" TargetMode="External"/><Relationship Id="rId3" Type="http://schemas.openxmlformats.org/officeDocument/2006/relationships/settings" Target="settings.xml"/><Relationship Id="rId21" Type="http://schemas.openxmlformats.org/officeDocument/2006/relationships/hyperlink" Target="https://ftp.cdc.gov/pub/Health_Statistics/NCHS/Dataset_Documentation/NHIS/2022/adult-codebook.pdf"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hhs.gov/risk-less-do-more/index.html" TargetMode="External"/><Relationship Id="rId17" Type="http://schemas.openxmlformats.org/officeDocument/2006/relationships/hyperlink" Target="https://hdpulse.nimhd.nih.gov/interventions/" TargetMode="External"/><Relationship Id="rId25" Type="http://schemas.openxmlformats.org/officeDocument/2006/relationships/hyperlink" Target="https://www.insidernj.com/press-release/vice-president-harris-lays-out-agenda-to-lower-costs-for-american-famili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imhd.nih.gov/news-events/news-releases/2024/nih-launches-health-disparities-interventions-portal.html" TargetMode="External"/><Relationship Id="rId20" Type="http://schemas.openxmlformats.org/officeDocument/2006/relationships/hyperlink" Target="https://www.healthsystemtracker.org/chart-collection/beyond-cost-what-barriers-to-health-care-do-consumers-face/"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hs.gov/about/news/2024/08/19/hhs-launches-national-public-education-campaign-ahead-respiratory-virus-season.html" TargetMode="External"/><Relationship Id="rId24" Type="http://schemas.openxmlformats.org/officeDocument/2006/relationships/hyperlink" Target="https://demconvention.co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dc.gov/nchs/data/nvsr/nvsr73/nvsr73-07.pdf" TargetMode="External"/><Relationship Id="rId23" Type="http://schemas.openxmlformats.org/officeDocument/2006/relationships/hyperlink" Target="https://healthsperien.us19.list-manage.com/track/click?u=b80803827ec1d826bd16eace6&amp;id=4eb462f31a&amp;e=02f9a79650" TargetMode="External"/><Relationship Id="rId28" Type="http://schemas.openxmlformats.org/officeDocument/2006/relationships/hyperlink" Target="https://apnews.com/article/robert-f-kennedy-jr-polls-rfk-trump-harris-fd8463cfcdd1bb9399466be59ce0db97" TargetMode="External"/><Relationship Id="rId10" Type="http://schemas.openxmlformats.org/officeDocument/2006/relationships/hyperlink" Target="https://www.dropbox.com/scl/fi/i76648z1800hwx0akzui6/1-Class-Complaint.pdf?rlkey=52kxgjs9km0xgnu56g7wgjrqd&amp;e=3&amp;st=5es9p1yj&amp;dl=0" TargetMode="External"/><Relationship Id="rId19" Type="http://schemas.openxmlformats.org/officeDocument/2006/relationships/hyperlink" Target="https://apnews.com/article/noncompete-workers-ftc-lawsuit-2ad7eba9f22198e96edbf50fdffd8cc0"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esco.org/en/articles/empowering-media-champion-disability-equality" TargetMode="External"/><Relationship Id="rId14" Type="http://schemas.openxmlformats.org/officeDocument/2006/relationships/hyperlink" Target="https://www.medicaid.gov/federal-policy-guidance/downloads/cib08192024.pdf" TargetMode="External"/><Relationship Id="rId22" Type="http://schemas.openxmlformats.org/officeDocument/2006/relationships/hyperlink" Target="https://healthsperien.us19.list-manage.com/track/click?u=b80803827ec1d826bd16eace6&amp;id=5eb80829b0&amp;e=02f9a79650" TargetMode="External"/><Relationship Id="rId27" Type="http://schemas.openxmlformats.org/officeDocument/2006/relationships/hyperlink" Target="https://apnews.com/article/rfk-jr-trump-speech-arizona-a2638f89ddcb5de03edbe4574ca17d45" TargetMode="External"/><Relationship Id="rId30" Type="http://schemas.openxmlformats.org/officeDocument/2006/relationships/image" Target="media/image3.png"/><Relationship Id="rId8" Type="http://schemas.openxmlformats.org/officeDocument/2006/relationships/hyperlink" Target="https://www.paralympic.org/paris-2024/news/paris-2024-ipc-and-unesco-host-disability-inclusion-c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Brian Lindberg</cp:lastModifiedBy>
  <cp:revision>2</cp:revision>
  <dcterms:created xsi:type="dcterms:W3CDTF">2024-08-26T15:41:00Z</dcterms:created>
  <dcterms:modified xsi:type="dcterms:W3CDTF">2024-08-26T15:41:00Z</dcterms:modified>
</cp:coreProperties>
</file>