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F0607A" w14:textId="2B59B87B" w:rsidR="00226ACA" w:rsidRPr="00330820" w:rsidRDefault="00226ACA" w:rsidP="00226ACA">
      <w:pPr>
        <w:pStyle w:val="Heading1"/>
        <w:spacing w:after="240"/>
        <w:rPr>
          <w:rFonts w:ascii="Poppins SemiBold" w:hAnsi="Poppins SemiBold" w:cs="Poppins SemiBold"/>
          <w:sz w:val="32"/>
          <w:szCs w:val="32"/>
        </w:rPr>
      </w:pPr>
      <w:r w:rsidRPr="00736378">
        <w:rPr>
          <w:rFonts w:ascii="Poppins SemiBold" w:hAnsi="Poppins SemiBold" w:cs="Poppins SemiBold"/>
          <w:noProof/>
          <w:sz w:val="32"/>
          <w:szCs w:val="32"/>
        </w:rPr>
        <w:drawing>
          <wp:anchor distT="0" distB="0" distL="114300" distR="114300" simplePos="0" relativeHeight="251659264" behindDoc="0" locked="0" layoutInCell="1" allowOverlap="1" wp14:anchorId="230AA540" wp14:editId="68233A21">
            <wp:simplePos x="0" y="0"/>
            <wp:positionH relativeFrom="margin">
              <wp:posOffset>-958850</wp:posOffset>
            </wp:positionH>
            <wp:positionV relativeFrom="margin">
              <wp:posOffset>-899795</wp:posOffset>
            </wp:positionV>
            <wp:extent cx="7853680" cy="2769870"/>
            <wp:effectExtent l="0" t="0" r="0" b="5715"/>
            <wp:wrapSquare wrapText="bothSides"/>
            <wp:docPr id="998037536" name="Picture 4" descr="A white building with a d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037536" name="Picture 4" descr="A white building with a dome&#10;&#10;Description automatically generated"/>
                    <pic:cNvPicPr/>
                  </pic:nvPicPr>
                  <pic:blipFill>
                    <a:blip r:embed="rId8" cstate="print">
                      <a:extLst>
                        <a:ext uri="{28A0092B-C50C-407E-A947-70E740481C1C}">
                          <a14:useLocalDpi xmlns:a14="http://schemas.microsoft.com/office/drawing/2010/main" val="0"/>
                        </a:ext>
                      </a:extLst>
                    </a:blip>
                    <a:srcRect t="2975" b="2975"/>
                    <a:stretch>
                      <a:fillRect/>
                    </a:stretch>
                  </pic:blipFill>
                  <pic:spPr bwMode="auto">
                    <a:xfrm>
                      <a:off x="0" y="0"/>
                      <a:ext cx="7853680" cy="27698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5777A8">
        <w:rPr>
          <w:rFonts w:ascii="Poppins SemiBold" w:hAnsi="Poppins SemiBold" w:cs="Poppins SemiBold"/>
          <w:noProof/>
          <w:sz w:val="32"/>
          <w:szCs w:val="32"/>
        </w:rPr>
        <w:t>Au</w:t>
      </w:r>
      <w:r w:rsidR="004D09B8">
        <w:rPr>
          <w:rFonts w:ascii="Poppins SemiBold" w:hAnsi="Poppins SemiBold" w:cs="Poppins SemiBold"/>
          <w:noProof/>
          <w:sz w:val="32"/>
          <w:szCs w:val="32"/>
        </w:rPr>
        <w:t>gu</w:t>
      </w:r>
      <w:r w:rsidR="005777A8">
        <w:rPr>
          <w:rFonts w:ascii="Poppins SemiBold" w:hAnsi="Poppins SemiBold" w:cs="Poppins SemiBold"/>
          <w:noProof/>
          <w:sz w:val="32"/>
          <w:szCs w:val="32"/>
        </w:rPr>
        <w:t xml:space="preserve">st </w:t>
      </w:r>
      <w:r w:rsidR="001903AC">
        <w:rPr>
          <w:rFonts w:ascii="Poppins SemiBold" w:hAnsi="Poppins SemiBold" w:cs="Poppins SemiBold"/>
          <w:noProof/>
          <w:sz w:val="32"/>
          <w:szCs w:val="32"/>
        </w:rPr>
        <w:t>1</w:t>
      </w:r>
      <w:r w:rsidR="00563D11">
        <w:rPr>
          <w:rFonts w:ascii="Poppins SemiBold" w:hAnsi="Poppins SemiBold" w:cs="Poppins SemiBold"/>
          <w:noProof/>
          <w:sz w:val="32"/>
          <w:szCs w:val="32"/>
        </w:rPr>
        <w:t>3</w:t>
      </w:r>
      <w:r w:rsidRPr="00736378">
        <w:rPr>
          <w:rFonts w:ascii="Poppins SemiBold" w:hAnsi="Poppins SemiBold" w:cs="Poppins SemiBold"/>
          <w:noProof/>
          <w:sz w:val="32"/>
          <w:szCs w:val="32"/>
        </w:rPr>
        <w:t>, 2024</w:t>
      </w:r>
    </w:p>
    <w:p w14:paraId="1883849E" w14:textId="77777777" w:rsidR="00563D11" w:rsidRPr="0059241D" w:rsidRDefault="00563D11" w:rsidP="00563D11">
      <w:pPr>
        <w:pStyle w:val="ListParagraph"/>
        <w:numPr>
          <w:ilvl w:val="0"/>
          <w:numId w:val="26"/>
        </w:numPr>
        <w:spacing w:after="0" w:line="240" w:lineRule="auto"/>
        <w:rPr>
          <w:rFonts w:ascii="Poppins Medium" w:hAnsi="Poppins Medium" w:cs="Poppins Medium"/>
          <w:color w:val="0F4761" w:themeColor="accent1" w:themeShade="BF"/>
          <w:sz w:val="24"/>
          <w:szCs w:val="24"/>
        </w:rPr>
      </w:pPr>
      <w:r w:rsidRPr="0059241D">
        <w:rPr>
          <w:rFonts w:ascii="Poppins Medium" w:hAnsi="Poppins Medium" w:cs="Poppins Medium"/>
          <w:color w:val="0F4761" w:themeColor="accent1" w:themeShade="BF"/>
          <w:sz w:val="24"/>
          <w:szCs w:val="24"/>
        </w:rPr>
        <w:t xml:space="preserve">Congress Considers Future of Autism </w:t>
      </w:r>
      <w:proofErr w:type="gramStart"/>
      <w:r w:rsidRPr="0059241D">
        <w:rPr>
          <w:rFonts w:ascii="Poppins Medium" w:hAnsi="Poppins Medium" w:cs="Poppins Medium"/>
          <w:color w:val="0F4761" w:themeColor="accent1" w:themeShade="BF"/>
          <w:sz w:val="24"/>
          <w:szCs w:val="24"/>
        </w:rPr>
        <w:t>Act as</w:t>
      </w:r>
      <w:proofErr w:type="gramEnd"/>
      <w:r w:rsidRPr="0059241D">
        <w:rPr>
          <w:rFonts w:ascii="Poppins Medium" w:hAnsi="Poppins Medium" w:cs="Poppins Medium"/>
          <w:color w:val="0F4761" w:themeColor="accent1" w:themeShade="BF"/>
          <w:sz w:val="24"/>
          <w:szCs w:val="24"/>
        </w:rPr>
        <w:t xml:space="preserve"> Deadline Approaches</w:t>
      </w:r>
    </w:p>
    <w:p w14:paraId="08837206" w14:textId="77777777" w:rsidR="00563D11" w:rsidRDefault="00563D11" w:rsidP="00563D11">
      <w:pPr>
        <w:pStyle w:val="ListParagraph"/>
        <w:spacing w:after="0" w:line="240" w:lineRule="auto"/>
        <w:ind w:left="360"/>
        <w:rPr>
          <w:rFonts w:cs="Poppins"/>
          <w:szCs w:val="20"/>
        </w:rPr>
      </w:pPr>
      <w:r w:rsidRPr="00402772">
        <w:rPr>
          <w:rFonts w:cs="Poppins"/>
          <w:szCs w:val="20"/>
        </w:rPr>
        <w:t xml:space="preserve">Federal lawmakers are working to </w:t>
      </w:r>
      <w:hyperlink r:id="rId9" w:history="1">
        <w:r w:rsidRPr="00F808EA">
          <w:rPr>
            <w:rStyle w:val="Hyperlink"/>
            <w:rFonts w:cs="Poppins"/>
            <w:szCs w:val="20"/>
          </w:rPr>
          <w:t>renew</w:t>
        </w:r>
      </w:hyperlink>
      <w:r w:rsidRPr="00402772">
        <w:rPr>
          <w:rFonts w:cs="Poppins"/>
          <w:szCs w:val="20"/>
        </w:rPr>
        <w:t xml:space="preserve"> the</w:t>
      </w:r>
      <w:r w:rsidRPr="00AB79C4">
        <w:rPr>
          <w:rFonts w:cs="Poppins"/>
          <w:szCs w:val="20"/>
        </w:rPr>
        <w:t xml:space="preserve"> Autism Collaboration, Accountability, Research, Education and Support</w:t>
      </w:r>
      <w:r w:rsidRPr="00402772">
        <w:rPr>
          <w:rFonts w:cs="Poppins"/>
          <w:szCs w:val="20"/>
        </w:rPr>
        <w:t xml:space="preserve"> </w:t>
      </w:r>
      <w:r>
        <w:rPr>
          <w:rFonts w:cs="Poppins"/>
          <w:szCs w:val="20"/>
        </w:rPr>
        <w:t>(</w:t>
      </w:r>
      <w:r w:rsidRPr="00402772">
        <w:rPr>
          <w:rFonts w:cs="Poppins"/>
          <w:szCs w:val="20"/>
        </w:rPr>
        <w:t>CARES</w:t>
      </w:r>
      <w:r>
        <w:rPr>
          <w:rFonts w:cs="Poppins"/>
          <w:szCs w:val="20"/>
        </w:rPr>
        <w:t>)</w:t>
      </w:r>
      <w:r w:rsidRPr="00402772">
        <w:rPr>
          <w:rFonts w:cs="Poppins"/>
          <w:szCs w:val="20"/>
        </w:rPr>
        <w:t xml:space="preserve"> Act, which allocates nearly $2 billion for autism-related programs, before its expiration on September 30. The </w:t>
      </w:r>
      <w:r>
        <w:rPr>
          <w:rFonts w:cs="Poppins"/>
          <w:szCs w:val="20"/>
        </w:rPr>
        <w:t>A</w:t>
      </w:r>
      <w:r w:rsidRPr="00402772">
        <w:rPr>
          <w:rFonts w:cs="Poppins"/>
          <w:szCs w:val="20"/>
        </w:rPr>
        <w:t xml:space="preserve">ct, first established in 2006 and last renewed in 2019, funds research, screening, professional training, and other government activities related to autism. The 2024 renewal has bipartisan support and has passed committees in both the Senate and the House. During a Senate Committee on Health, Education, Labor, and Pensions (HELP) </w:t>
      </w:r>
      <w:hyperlink r:id="rId10" w:history="1">
        <w:r w:rsidRPr="00360BBB">
          <w:rPr>
            <w:rStyle w:val="Hyperlink"/>
            <w:rFonts w:cs="Poppins"/>
            <w:szCs w:val="20"/>
          </w:rPr>
          <w:t>markup</w:t>
        </w:r>
      </w:hyperlink>
      <w:r w:rsidRPr="00402772">
        <w:rPr>
          <w:rFonts w:cs="Poppins"/>
          <w:szCs w:val="20"/>
        </w:rPr>
        <w:t xml:space="preserve"> on July 31, Senators Ben Ray Luján (D-NM) and Susan Collins (R-ME) spearheaded the committee passage of bipartisan legislation to advance the reauthorization of the Act.</w:t>
      </w:r>
      <w:r>
        <w:rPr>
          <w:rFonts w:cs="Poppins"/>
          <w:szCs w:val="20"/>
        </w:rPr>
        <w:t xml:space="preserve"> </w:t>
      </w:r>
      <w:r w:rsidRPr="00D2769F">
        <w:rPr>
          <w:rFonts w:cs="Poppins"/>
          <w:szCs w:val="20"/>
        </w:rPr>
        <w:t xml:space="preserve">While there are differences between the House and Senate bills, both aim to increase funding to renew </w:t>
      </w:r>
      <w:proofErr w:type="gramStart"/>
      <w:r w:rsidRPr="00D2769F">
        <w:rPr>
          <w:rFonts w:cs="Poppins"/>
          <w:szCs w:val="20"/>
        </w:rPr>
        <w:t>many</w:t>
      </w:r>
      <w:proofErr w:type="gramEnd"/>
      <w:r w:rsidRPr="00D2769F">
        <w:rPr>
          <w:rFonts w:cs="Poppins"/>
          <w:szCs w:val="20"/>
        </w:rPr>
        <w:t xml:space="preserve"> existing autism-related programs for five years and broaden the focus to include issues related to aging in those on the spectrum and support for individuals with limited speech or language.</w:t>
      </w:r>
    </w:p>
    <w:p w14:paraId="3A7ED1B5" w14:textId="77777777" w:rsidR="00563D11" w:rsidRDefault="00563D11" w:rsidP="00563D11">
      <w:pPr>
        <w:pBdr>
          <w:top w:val="nil"/>
          <w:left w:val="nil"/>
          <w:bottom w:val="nil"/>
          <w:right w:val="nil"/>
          <w:between w:val="nil"/>
        </w:pBdr>
        <w:rPr>
          <w:rFonts w:eastAsia="Calibri" w:cs="Poppins"/>
          <w:bCs/>
          <w:color w:val="000000"/>
          <w:szCs w:val="20"/>
        </w:rPr>
      </w:pPr>
    </w:p>
    <w:p w14:paraId="1A17FA1A" w14:textId="77777777" w:rsidR="00563D11" w:rsidRDefault="00563D11" w:rsidP="00563D11">
      <w:pPr>
        <w:pStyle w:val="ListParagraph"/>
        <w:numPr>
          <w:ilvl w:val="0"/>
          <w:numId w:val="1"/>
        </w:numPr>
        <w:spacing w:after="0" w:line="240" w:lineRule="auto"/>
        <w:rPr>
          <w:rFonts w:ascii="Poppins Medium" w:hAnsi="Poppins Medium" w:cs="Poppins Medium"/>
          <w:color w:val="0F4761" w:themeColor="accent1" w:themeShade="BF"/>
          <w:sz w:val="24"/>
          <w:szCs w:val="24"/>
        </w:rPr>
      </w:pPr>
      <w:r w:rsidRPr="004C0221">
        <w:rPr>
          <w:rFonts w:ascii="Poppins Medium" w:hAnsi="Poppins Medium" w:cs="Poppins Medium"/>
          <w:color w:val="0F4761" w:themeColor="accent1" w:themeShade="BF"/>
          <w:sz w:val="24"/>
          <w:szCs w:val="24"/>
        </w:rPr>
        <w:t>Harvard Medical Students with Disabilities Advocate for Enhanced Care and Support in Medical Education</w:t>
      </w:r>
    </w:p>
    <w:p w14:paraId="24E2884B" w14:textId="77777777" w:rsidR="00563D11" w:rsidRPr="00EF6A0E" w:rsidRDefault="00563D11" w:rsidP="00563D11">
      <w:pPr>
        <w:pStyle w:val="ListParagraph"/>
        <w:spacing w:after="0" w:line="240" w:lineRule="auto"/>
        <w:ind w:left="360"/>
        <w:rPr>
          <w:rFonts w:cs="Poppins"/>
          <w:szCs w:val="20"/>
        </w:rPr>
      </w:pPr>
      <w:r w:rsidRPr="00EF6A0E">
        <w:rPr>
          <w:rFonts w:cs="Poppins"/>
          <w:szCs w:val="20"/>
        </w:rPr>
        <w:t>Harvard Medical School</w:t>
      </w:r>
      <w:r>
        <w:rPr>
          <w:rFonts w:cs="Poppins"/>
          <w:szCs w:val="20"/>
        </w:rPr>
        <w:t xml:space="preserve"> students</w:t>
      </w:r>
      <w:r w:rsidRPr="00EF6A0E">
        <w:rPr>
          <w:rFonts w:cs="Poppins"/>
          <w:szCs w:val="20"/>
        </w:rPr>
        <w:t xml:space="preserve"> Lilly Montesano Scheibe and Kelsey Biddle, who both have narcolepsy, are </w:t>
      </w:r>
      <w:hyperlink r:id="rId11" w:history="1">
        <w:r w:rsidRPr="0079619C">
          <w:rPr>
            <w:rStyle w:val="Hyperlink"/>
            <w:rFonts w:cs="Poppins"/>
            <w:szCs w:val="20"/>
          </w:rPr>
          <w:t>leading efforts</w:t>
        </w:r>
      </w:hyperlink>
      <w:r w:rsidRPr="00EF6A0E">
        <w:rPr>
          <w:rFonts w:cs="Poppins"/>
          <w:szCs w:val="20"/>
        </w:rPr>
        <w:t xml:space="preserve"> to improve disability care and support within medical education. After experiencing challenges in managing their condition and finding support, Montesano Scheibe and Biddle have become advocates for better training and resources for students with disabilities. These efforts have led to a comprehensive disability-focused curriculum and expanded support services at Harvard, addressing significant gaps in medical training. With only about half of medical schools offering limited disability education, these initiatives aim to reduce healthcare disparities and better prepare future doctors to care for patients with disabilities. Advocates are also promoting universal design to ensure accessibility for all students, with the goal of increasing the number of clinicians with disabilities and improving health outcomes for marginalized communities.</w:t>
      </w:r>
    </w:p>
    <w:p w14:paraId="21937EB6" w14:textId="77777777" w:rsidR="00563D11" w:rsidRPr="00500ECF" w:rsidRDefault="00563D11" w:rsidP="00563D11">
      <w:pPr>
        <w:spacing w:after="0" w:line="240" w:lineRule="auto"/>
        <w:rPr>
          <w:rFonts w:cs="Poppins"/>
          <w:szCs w:val="20"/>
        </w:rPr>
      </w:pPr>
    </w:p>
    <w:p w14:paraId="6AA57DAC" w14:textId="77777777" w:rsidR="00563D11" w:rsidRDefault="00563D11" w:rsidP="00563D11">
      <w:pPr>
        <w:pStyle w:val="ListParagraph"/>
        <w:numPr>
          <w:ilvl w:val="0"/>
          <w:numId w:val="26"/>
        </w:numPr>
        <w:spacing w:before="240" w:after="0"/>
        <w:rPr>
          <w:rFonts w:ascii="Poppins Medium" w:hAnsi="Poppins Medium" w:cs="Poppins Medium"/>
          <w:color w:val="0F4761" w:themeColor="accent1" w:themeShade="BF"/>
          <w:sz w:val="24"/>
          <w:szCs w:val="24"/>
        </w:rPr>
      </w:pPr>
      <w:r>
        <w:rPr>
          <w:rFonts w:ascii="Poppins Medium" w:hAnsi="Poppins Medium" w:cs="Poppins Medium"/>
          <w:color w:val="0F4761" w:themeColor="accent1" w:themeShade="BF"/>
          <w:sz w:val="24"/>
          <w:szCs w:val="24"/>
        </w:rPr>
        <w:t>Bipartisan Group in Congress Pushes for Approval of MDMA to Treat PTSD</w:t>
      </w:r>
    </w:p>
    <w:p w14:paraId="69D32904" w14:textId="77777777" w:rsidR="00563D11" w:rsidRDefault="00563D11" w:rsidP="00563D11">
      <w:pPr>
        <w:pStyle w:val="ListParagraph"/>
        <w:spacing w:before="240" w:after="0"/>
        <w:ind w:left="360"/>
        <w:rPr>
          <w:rFonts w:cs="Poppins"/>
          <w:szCs w:val="20"/>
        </w:rPr>
      </w:pPr>
      <w:r w:rsidRPr="00686BDF">
        <w:rPr>
          <w:rFonts w:cs="Poppins"/>
          <w:szCs w:val="20"/>
        </w:rPr>
        <w:t>A bipartisan group in Congress, led by Rep. Jack Bergman (R-MI)</w:t>
      </w:r>
      <w:r>
        <w:rPr>
          <w:rFonts w:cs="Poppins"/>
          <w:szCs w:val="20"/>
        </w:rPr>
        <w:t>, is</w:t>
      </w:r>
      <w:r w:rsidRPr="00686BDF">
        <w:rPr>
          <w:rFonts w:cs="Poppins"/>
          <w:szCs w:val="20"/>
        </w:rPr>
        <w:t xml:space="preserve"> </w:t>
      </w:r>
      <w:hyperlink r:id="rId12" w:tgtFrame="_blank" w:history="1">
        <w:r>
          <w:rPr>
            <w:rStyle w:val="Hyperlink"/>
            <w:rFonts w:cs="Poppins"/>
            <w:szCs w:val="20"/>
          </w:rPr>
          <w:t>advocating</w:t>
        </w:r>
      </w:hyperlink>
      <w:r w:rsidRPr="00686BDF">
        <w:rPr>
          <w:rFonts w:cs="Poppins"/>
          <w:szCs w:val="20"/>
        </w:rPr>
        <w:t xml:space="preserve"> </w:t>
      </w:r>
      <w:r>
        <w:rPr>
          <w:rFonts w:cs="Poppins"/>
          <w:szCs w:val="20"/>
        </w:rPr>
        <w:t xml:space="preserve">for the </w:t>
      </w:r>
      <w:r w:rsidRPr="00686BDF">
        <w:rPr>
          <w:rFonts w:cs="Poppins"/>
          <w:szCs w:val="20"/>
        </w:rPr>
        <w:t xml:space="preserve">FDA to </w:t>
      </w:r>
      <w:r>
        <w:rPr>
          <w:rFonts w:cs="Poppins"/>
          <w:szCs w:val="20"/>
        </w:rPr>
        <w:t>reconsider</w:t>
      </w:r>
      <w:r w:rsidRPr="00686BDF">
        <w:rPr>
          <w:rFonts w:cs="Poppins"/>
          <w:szCs w:val="20"/>
        </w:rPr>
        <w:t xml:space="preserve"> its expert advisors’ opposition to Lykos Therapeutics’ combination regimen of talk therapy and MDMA</w:t>
      </w:r>
      <w:r>
        <w:rPr>
          <w:rFonts w:cs="Poppins"/>
          <w:szCs w:val="20"/>
        </w:rPr>
        <w:t xml:space="preserve"> for treating PTSD</w:t>
      </w:r>
      <w:r w:rsidRPr="00686BDF">
        <w:rPr>
          <w:rFonts w:cs="Poppins"/>
          <w:szCs w:val="20"/>
        </w:rPr>
        <w:t>. W</w:t>
      </w:r>
      <w:r>
        <w:rPr>
          <w:rFonts w:cs="Poppins"/>
          <w:szCs w:val="20"/>
        </w:rPr>
        <w:t xml:space="preserve">in a </w:t>
      </w:r>
      <w:hyperlink r:id="rId13" w:tgtFrame="_blank" w:history="1">
        <w:r w:rsidRPr="00686BDF">
          <w:rPr>
            <w:rStyle w:val="Hyperlink"/>
            <w:rFonts w:cs="Poppins"/>
            <w:szCs w:val="20"/>
          </w:rPr>
          <w:t>letter</w:t>
        </w:r>
      </w:hyperlink>
      <w:r w:rsidRPr="00686BDF">
        <w:rPr>
          <w:rFonts w:cs="Poppins"/>
          <w:szCs w:val="20"/>
        </w:rPr>
        <w:t xml:space="preserve"> to President Biden and administration official</w:t>
      </w:r>
      <w:r>
        <w:rPr>
          <w:rFonts w:cs="Poppins"/>
          <w:szCs w:val="20"/>
        </w:rPr>
        <w:t>s</w:t>
      </w:r>
      <w:r w:rsidRPr="00686BDF">
        <w:rPr>
          <w:rFonts w:cs="Poppins"/>
          <w:szCs w:val="20"/>
        </w:rPr>
        <w:t xml:space="preserve">, Rep. Bergman and 60 other congressional members highlighted the need for new </w:t>
      </w:r>
      <w:r>
        <w:rPr>
          <w:rFonts w:cs="Poppins"/>
          <w:szCs w:val="20"/>
        </w:rPr>
        <w:t xml:space="preserve">PTSD </w:t>
      </w:r>
      <w:r w:rsidRPr="00686BDF">
        <w:rPr>
          <w:rFonts w:cs="Poppins"/>
          <w:szCs w:val="20"/>
        </w:rPr>
        <w:t xml:space="preserve">treatments and the </w:t>
      </w:r>
      <w:r>
        <w:rPr>
          <w:rFonts w:cs="Poppins"/>
          <w:szCs w:val="20"/>
        </w:rPr>
        <w:t>potential</w:t>
      </w:r>
      <w:r w:rsidRPr="00686BDF">
        <w:rPr>
          <w:rFonts w:cs="Poppins"/>
          <w:szCs w:val="20"/>
        </w:rPr>
        <w:t xml:space="preserve"> of MDMA-Assisted Therapy (MDMA-AT) to prevent suicide among veterans. </w:t>
      </w:r>
      <w:r w:rsidRPr="000E596A">
        <w:rPr>
          <w:rFonts w:cs="Poppins"/>
          <w:szCs w:val="20"/>
        </w:rPr>
        <w:t xml:space="preserve">The FDA advisors had concluded that the combination of talk therapy and MDMA is not an effective PTSD treatment and that the therapy’s risks outweigh its benefits. The agency is expected to </w:t>
      </w:r>
      <w:proofErr w:type="gramStart"/>
      <w:r w:rsidRPr="000E596A">
        <w:rPr>
          <w:rFonts w:cs="Poppins"/>
          <w:szCs w:val="20"/>
        </w:rPr>
        <w:t>make a decision</w:t>
      </w:r>
      <w:proofErr w:type="gramEnd"/>
      <w:r w:rsidRPr="000E596A">
        <w:rPr>
          <w:rFonts w:cs="Poppins"/>
          <w:szCs w:val="20"/>
        </w:rPr>
        <w:t xml:space="preserve"> on Lykos Therapeutics' MDMA and talk therapy application this week. Additionally, Lykos Therapeutics recently announced the formation of an independent advisory board comprising experts in corporate and medical ethics, innovation, psychiatry, and military and veteran health to oversee the potential commercial launch.</w:t>
      </w:r>
    </w:p>
    <w:p w14:paraId="0E9E1064" w14:textId="77777777" w:rsidR="00563D11" w:rsidRPr="005554AE" w:rsidRDefault="00563D11" w:rsidP="00563D11">
      <w:pPr>
        <w:spacing w:after="240"/>
        <w:rPr>
          <w:rFonts w:eastAsiaTheme="minorEastAsia" w:cs="Poppins"/>
          <w:color w:val="000000" w:themeColor="text1"/>
          <w:szCs w:val="18"/>
        </w:rPr>
      </w:pPr>
    </w:p>
    <w:p w14:paraId="74F32A06" w14:textId="2B5C8F39" w:rsidR="00120C4B" w:rsidRPr="00E007ED" w:rsidRDefault="000C5BE3" w:rsidP="00120C4B">
      <w:pPr>
        <w:pStyle w:val="ListParagraph"/>
        <w:numPr>
          <w:ilvl w:val="0"/>
          <w:numId w:val="1"/>
        </w:numPr>
        <w:spacing w:before="240" w:after="0"/>
        <w:rPr>
          <w:rFonts w:cs="Poppins"/>
          <w:szCs w:val="20"/>
        </w:rPr>
      </w:pPr>
      <w:r>
        <w:rPr>
          <w:rFonts w:ascii="Poppins Medium" w:hAnsi="Poppins Medium" w:cs="Poppins Medium"/>
          <w:color w:val="0F4761" w:themeColor="accent1" w:themeShade="BF"/>
          <w:sz w:val="24"/>
          <w:szCs w:val="24"/>
        </w:rPr>
        <w:t>CMS Announces Final Procedural Notice of Transitional Coverage for Emerging Technologies</w:t>
      </w:r>
    </w:p>
    <w:p w14:paraId="457A03DE" w14:textId="3DD15AE1" w:rsidR="00120C4B" w:rsidRDefault="00120C4B" w:rsidP="00120C4B">
      <w:pPr>
        <w:spacing w:after="0" w:line="240" w:lineRule="auto"/>
        <w:ind w:left="360"/>
        <w:rPr>
          <w:rFonts w:cs="Poppins"/>
          <w:szCs w:val="20"/>
        </w:rPr>
      </w:pPr>
      <w:r w:rsidRPr="00CD08CB">
        <w:rPr>
          <w:rFonts w:cs="Poppins"/>
          <w:szCs w:val="20"/>
        </w:rPr>
        <w:t xml:space="preserve">The Centers for Medicare &amp; Medicaid Services (CMS) </w:t>
      </w:r>
      <w:r w:rsidR="00884C56">
        <w:rPr>
          <w:rFonts w:cs="Poppins"/>
          <w:szCs w:val="20"/>
        </w:rPr>
        <w:t xml:space="preserve">has announced the final procedural notice for the </w:t>
      </w:r>
      <w:hyperlink r:id="rId14" w:tgtFrame="_blank" w:history="1">
        <w:r w:rsidRPr="00CD08CB">
          <w:rPr>
            <w:rStyle w:val="Hyperlink"/>
            <w:rFonts w:cs="Poppins"/>
            <w:szCs w:val="20"/>
          </w:rPr>
          <w:t>Transitional Coverage for Emerging Technologies (TCET) Pathway</w:t>
        </w:r>
      </w:hyperlink>
      <w:r w:rsidR="00884C56">
        <w:rPr>
          <w:rFonts w:cs="Poppins"/>
          <w:szCs w:val="20"/>
        </w:rPr>
        <w:t>, a new</w:t>
      </w:r>
      <w:r w:rsidRPr="00CD08CB">
        <w:rPr>
          <w:rFonts w:cs="Poppins"/>
          <w:szCs w:val="20"/>
        </w:rPr>
        <w:t xml:space="preserve"> initiative </w:t>
      </w:r>
      <w:r w:rsidR="00884C56">
        <w:rPr>
          <w:rFonts w:cs="Poppins"/>
          <w:szCs w:val="20"/>
        </w:rPr>
        <w:t xml:space="preserve">aimed at enhancing Medicare beneficiaries’ access to medical advancements. This pathway </w:t>
      </w:r>
      <w:r w:rsidRPr="00CD08CB">
        <w:rPr>
          <w:rFonts w:cs="Poppins"/>
          <w:szCs w:val="20"/>
        </w:rPr>
        <w:t xml:space="preserve">facilitates the integration of FDA-designated Breakthrough Devices into Medicare by expediting the national coverage determination (NCD) process, </w:t>
      </w:r>
      <w:r w:rsidR="007927F6">
        <w:rPr>
          <w:rFonts w:cs="Poppins"/>
          <w:szCs w:val="20"/>
        </w:rPr>
        <w:t>with a goal of reaching a</w:t>
      </w:r>
      <w:r w:rsidRPr="00CD08CB">
        <w:rPr>
          <w:rFonts w:cs="Poppins"/>
          <w:szCs w:val="20"/>
        </w:rPr>
        <w:t xml:space="preserve"> final decision within six months post-FDA authorization. TCET promotes </w:t>
      </w:r>
      <w:proofErr w:type="gramStart"/>
      <w:r w:rsidRPr="00CD08CB">
        <w:rPr>
          <w:rFonts w:cs="Poppins"/>
          <w:szCs w:val="20"/>
        </w:rPr>
        <w:t>early access</w:t>
      </w:r>
      <w:proofErr w:type="gramEnd"/>
      <w:r w:rsidRPr="00CD08CB">
        <w:rPr>
          <w:rFonts w:cs="Poppins"/>
          <w:szCs w:val="20"/>
        </w:rPr>
        <w:t xml:space="preserve">, evidence development, and patient-centered care while ensuring robust safeguards. Manufacturers can nominate devices for TCET, which supports </w:t>
      </w:r>
      <w:r w:rsidR="00BF0DCC">
        <w:rPr>
          <w:rFonts w:cs="Poppins"/>
          <w:szCs w:val="20"/>
        </w:rPr>
        <w:t>the integration of breakthrough technologies</w:t>
      </w:r>
      <w:r w:rsidRPr="00CD08CB">
        <w:rPr>
          <w:rFonts w:cs="Poppins"/>
          <w:szCs w:val="20"/>
        </w:rPr>
        <w:t xml:space="preserve"> by providing a clear and efficient coverage review process. Extensive feedback from stakeholders has refined the pathway, which now includes an Evidence Preview and Development Plan to address evidence gaps and ensure comprehensive evaluations. TCET anticipates supporting up to five devices annually, with transitional coverage linked to ongoing evidence generation. </w:t>
      </w:r>
    </w:p>
    <w:p w14:paraId="73089F49" w14:textId="14E75AA7" w:rsidR="00120C4B" w:rsidRPr="00E007ED" w:rsidRDefault="000C5BE3" w:rsidP="00120C4B">
      <w:pPr>
        <w:pStyle w:val="ListParagraph"/>
        <w:numPr>
          <w:ilvl w:val="0"/>
          <w:numId w:val="1"/>
        </w:numPr>
        <w:spacing w:before="240" w:after="0"/>
        <w:rPr>
          <w:rFonts w:cs="Poppins"/>
          <w:szCs w:val="20"/>
        </w:rPr>
      </w:pPr>
      <w:r>
        <w:rPr>
          <w:rFonts w:ascii="Poppins Medium" w:hAnsi="Poppins Medium" w:cs="Poppins Medium"/>
          <w:color w:val="0F4761" w:themeColor="accent1" w:themeShade="BF"/>
          <w:sz w:val="24"/>
          <w:szCs w:val="24"/>
        </w:rPr>
        <w:t>Peterson-KFF Health System Tracker Analyzes Increase of ACA Marketplace Premiums in 2025</w:t>
      </w:r>
    </w:p>
    <w:p w14:paraId="4B3CB56B" w14:textId="0C105977" w:rsidR="00120C4B" w:rsidRDefault="00120C4B" w:rsidP="00120C4B">
      <w:pPr>
        <w:spacing w:after="0" w:line="240" w:lineRule="auto"/>
        <w:ind w:left="360"/>
        <w:rPr>
          <w:rFonts w:cs="Poppins"/>
          <w:szCs w:val="20"/>
        </w:rPr>
      </w:pPr>
      <w:r w:rsidRPr="007475C0">
        <w:rPr>
          <w:rFonts w:cs="Poppins"/>
          <w:szCs w:val="20"/>
        </w:rPr>
        <w:t xml:space="preserve">The Peterson-Kaiser Health System Tracker recently </w:t>
      </w:r>
      <w:hyperlink r:id="rId15" w:anchor="Distribution%20of%20proposed%202025%20rate%20changes%20among%20324%20reviewed%20ACA%20Marketplace%20insurers" w:tgtFrame="_blank" w:history="1">
        <w:r w:rsidRPr="007475C0">
          <w:rPr>
            <w:rStyle w:val="Hyperlink"/>
            <w:rFonts w:cs="Poppins"/>
            <w:szCs w:val="20"/>
          </w:rPr>
          <w:t>released</w:t>
        </w:r>
      </w:hyperlink>
      <w:r w:rsidRPr="007475C0">
        <w:rPr>
          <w:rFonts w:cs="Poppins"/>
          <w:szCs w:val="20"/>
        </w:rPr>
        <w:t xml:space="preserve"> an analysis </w:t>
      </w:r>
      <w:r w:rsidR="00D466CF">
        <w:rPr>
          <w:rFonts w:cs="Poppins"/>
          <w:szCs w:val="20"/>
        </w:rPr>
        <w:t xml:space="preserve">examining </w:t>
      </w:r>
      <w:r w:rsidR="00956EC5">
        <w:rPr>
          <w:rFonts w:cs="Poppins"/>
          <w:szCs w:val="20"/>
        </w:rPr>
        <w:t xml:space="preserve">the factors contributing to the </w:t>
      </w:r>
      <w:r w:rsidR="00123C77">
        <w:rPr>
          <w:rFonts w:cs="Poppins"/>
          <w:szCs w:val="20"/>
        </w:rPr>
        <w:t>projected</w:t>
      </w:r>
      <w:r w:rsidRPr="007475C0">
        <w:rPr>
          <w:rFonts w:cs="Poppins"/>
          <w:szCs w:val="20"/>
        </w:rPr>
        <w:t xml:space="preserve"> increase</w:t>
      </w:r>
      <w:r w:rsidR="00123C77">
        <w:rPr>
          <w:rFonts w:cs="Poppins"/>
          <w:szCs w:val="20"/>
        </w:rPr>
        <w:t xml:space="preserve"> in premiums</w:t>
      </w:r>
      <w:r w:rsidRPr="007475C0">
        <w:rPr>
          <w:rFonts w:cs="Poppins"/>
          <w:szCs w:val="20"/>
        </w:rPr>
        <w:t xml:space="preserve"> for Affordable Care Act (ACA)-regulated health plans. The study </w:t>
      </w:r>
      <w:r w:rsidR="00956EC5">
        <w:rPr>
          <w:rFonts w:cs="Poppins"/>
          <w:szCs w:val="20"/>
        </w:rPr>
        <w:t>reports</w:t>
      </w:r>
      <w:r w:rsidRPr="007475C0">
        <w:rPr>
          <w:rFonts w:cs="Poppins"/>
          <w:szCs w:val="20"/>
        </w:rPr>
        <w:t xml:space="preserve"> a median proposed premium increase of 7% for 2025 across 324 insurers participating in all </w:t>
      </w:r>
      <w:proofErr w:type="gramStart"/>
      <w:r w:rsidRPr="007475C0">
        <w:rPr>
          <w:rFonts w:cs="Poppins"/>
          <w:szCs w:val="20"/>
        </w:rPr>
        <w:t>50</w:t>
      </w:r>
      <w:proofErr w:type="gramEnd"/>
      <w:r w:rsidRPr="007475C0">
        <w:rPr>
          <w:rFonts w:cs="Poppins"/>
          <w:szCs w:val="20"/>
        </w:rPr>
        <w:t xml:space="preserve"> states and D.C. A deeper analysis of insurers in ten states and D.C. </w:t>
      </w:r>
      <w:r w:rsidR="00990DB2">
        <w:rPr>
          <w:rFonts w:cs="Poppins"/>
          <w:szCs w:val="20"/>
        </w:rPr>
        <w:t>identified key drivers of premium growth</w:t>
      </w:r>
      <w:r w:rsidR="001D3E3A">
        <w:rPr>
          <w:rFonts w:cs="Poppins"/>
          <w:szCs w:val="20"/>
        </w:rPr>
        <w:t xml:space="preserve">, including </w:t>
      </w:r>
      <w:r w:rsidRPr="007475C0">
        <w:rPr>
          <w:rFonts w:cs="Poppins"/>
          <w:szCs w:val="20"/>
        </w:rPr>
        <w:t xml:space="preserve">inflation, </w:t>
      </w:r>
      <w:r w:rsidRPr="007475C0">
        <w:rPr>
          <w:rFonts w:cs="Poppins"/>
          <w:szCs w:val="20"/>
        </w:rPr>
        <w:lastRenderedPageBreak/>
        <w:t>hospital market consolidation</w:t>
      </w:r>
      <w:r w:rsidR="00DB2C35">
        <w:rPr>
          <w:rFonts w:cs="Poppins"/>
          <w:szCs w:val="20"/>
        </w:rPr>
        <w:t xml:space="preserve">, </w:t>
      </w:r>
      <w:r w:rsidRPr="007475C0">
        <w:rPr>
          <w:rFonts w:cs="Poppins"/>
          <w:szCs w:val="20"/>
        </w:rPr>
        <w:t xml:space="preserve">workforce shortages, and increased utilization of weight loss and other specialty drugs. Researchers found </w:t>
      </w:r>
      <w:r w:rsidR="00DB2C35">
        <w:rPr>
          <w:rFonts w:cs="Poppins"/>
          <w:szCs w:val="20"/>
        </w:rPr>
        <w:t>minimal</w:t>
      </w:r>
      <w:r w:rsidRPr="007475C0">
        <w:rPr>
          <w:rFonts w:cs="Poppins"/>
          <w:szCs w:val="20"/>
        </w:rPr>
        <w:t xml:space="preserve"> impact on 2025 premiums from pandemic-related costs and the unwinding of Medicaid continuous coverage.</w:t>
      </w:r>
    </w:p>
    <w:p w14:paraId="2AB48385" w14:textId="530CE308" w:rsidR="00120C4B" w:rsidRPr="00E007ED" w:rsidRDefault="000C5BE3" w:rsidP="00120C4B">
      <w:pPr>
        <w:pStyle w:val="ListParagraph"/>
        <w:numPr>
          <w:ilvl w:val="0"/>
          <w:numId w:val="1"/>
        </w:numPr>
        <w:spacing w:before="240" w:after="0"/>
        <w:rPr>
          <w:rFonts w:cs="Poppins"/>
          <w:szCs w:val="20"/>
        </w:rPr>
      </w:pPr>
      <w:r>
        <w:rPr>
          <w:rFonts w:ascii="Poppins Medium" w:hAnsi="Poppins Medium" w:cs="Poppins Medium"/>
          <w:color w:val="0F4761" w:themeColor="accent1" w:themeShade="BF"/>
          <w:sz w:val="24"/>
          <w:szCs w:val="24"/>
        </w:rPr>
        <w:t>National Academies of Sciences, Engineering, and Medicine Publish Report Recommending Increased Participation of Care Providers for Mental Health and Substance Use Disorders in Health Insurance Plans</w:t>
      </w:r>
    </w:p>
    <w:p w14:paraId="25F45D85" w14:textId="6090A6F8" w:rsidR="00120C4B" w:rsidRPr="00120C4B" w:rsidRDefault="00120C4B" w:rsidP="00120C4B">
      <w:pPr>
        <w:spacing w:after="0" w:line="240" w:lineRule="auto"/>
        <w:ind w:left="360"/>
        <w:rPr>
          <w:rFonts w:cs="Poppins"/>
          <w:color w:val="000000"/>
          <w:shd w:val="clear" w:color="auto" w:fill="FFFFFF"/>
        </w:rPr>
      </w:pPr>
      <w:r w:rsidRPr="007475C0">
        <w:rPr>
          <w:rFonts w:cs="Poppins"/>
          <w:color w:val="000000"/>
          <w:szCs w:val="20"/>
          <w:shd w:val="clear" w:color="auto" w:fill="FFFFFF"/>
        </w:rPr>
        <w:t xml:space="preserve">The National Academies of Sciences, Engineering, and Medicine </w:t>
      </w:r>
      <w:hyperlink r:id="rId16" w:tgtFrame="_blank" w:history="1">
        <w:r w:rsidRPr="007475C0">
          <w:rPr>
            <w:rStyle w:val="Hyperlink"/>
            <w:rFonts w:cs="Poppins"/>
            <w:szCs w:val="20"/>
            <w:shd w:val="clear" w:color="auto" w:fill="FFFFFF"/>
          </w:rPr>
          <w:t>released</w:t>
        </w:r>
      </w:hyperlink>
      <w:r w:rsidRPr="007475C0">
        <w:rPr>
          <w:rFonts w:cs="Poppins"/>
          <w:color w:val="000000"/>
          <w:szCs w:val="20"/>
          <w:shd w:val="clear" w:color="auto" w:fill="FFFFFF"/>
        </w:rPr>
        <w:t xml:space="preserve"> a new report urging the Centers for Medicare and Medicaid Services (CMS) and the U.S. Department of Health and Human Services (HHS) to take action to increas</w:t>
      </w:r>
      <w:r w:rsidR="00B47A17">
        <w:rPr>
          <w:rFonts w:cs="Poppins"/>
          <w:color w:val="000000"/>
          <w:szCs w:val="20"/>
          <w:shd w:val="clear" w:color="auto" w:fill="FFFFFF"/>
        </w:rPr>
        <w:t>e</w:t>
      </w:r>
      <w:r w:rsidRPr="007475C0">
        <w:rPr>
          <w:rFonts w:cs="Poppins"/>
          <w:color w:val="000000"/>
          <w:szCs w:val="20"/>
          <w:shd w:val="clear" w:color="auto" w:fill="FFFFFF"/>
        </w:rPr>
        <w:t xml:space="preserve"> the participation of care providers for mental health and substance use disorders in Medicare, Medicaid, and Marketplace health insurance plans. The report </w:t>
      </w:r>
      <w:r w:rsidR="001E6F1C">
        <w:rPr>
          <w:rFonts w:cs="Poppins"/>
          <w:color w:val="000000"/>
          <w:szCs w:val="20"/>
          <w:shd w:val="clear" w:color="auto" w:fill="FFFFFF"/>
        </w:rPr>
        <w:t>provides</w:t>
      </w:r>
      <w:r w:rsidRPr="007475C0">
        <w:rPr>
          <w:rFonts w:cs="Poppins"/>
          <w:color w:val="000000"/>
          <w:szCs w:val="20"/>
          <w:shd w:val="clear" w:color="auto" w:fill="FFFFFF"/>
        </w:rPr>
        <w:t xml:space="preserve"> recommendations </w:t>
      </w:r>
      <w:r w:rsidR="0052351C">
        <w:rPr>
          <w:rFonts w:cs="Poppins"/>
          <w:color w:val="000000"/>
          <w:szCs w:val="20"/>
          <w:shd w:val="clear" w:color="auto" w:fill="FFFFFF"/>
        </w:rPr>
        <w:t>for</w:t>
      </w:r>
      <w:r w:rsidRPr="007475C0">
        <w:rPr>
          <w:rFonts w:cs="Poppins"/>
          <w:color w:val="000000"/>
          <w:szCs w:val="20"/>
          <w:shd w:val="clear" w:color="auto" w:fill="FFFFFF"/>
        </w:rPr>
        <w:t xml:space="preserve"> expand</w:t>
      </w:r>
      <w:r w:rsidR="0052351C">
        <w:rPr>
          <w:rFonts w:cs="Poppins"/>
          <w:color w:val="000000"/>
          <w:szCs w:val="20"/>
          <w:shd w:val="clear" w:color="auto" w:fill="FFFFFF"/>
        </w:rPr>
        <w:t>ing</w:t>
      </w:r>
      <w:r w:rsidRPr="007475C0">
        <w:rPr>
          <w:rFonts w:cs="Poppins"/>
          <w:color w:val="000000"/>
          <w:szCs w:val="20"/>
          <w:shd w:val="clear" w:color="auto" w:fill="FFFFFF"/>
        </w:rPr>
        <w:t xml:space="preserve"> the behavioral health workforce’s </w:t>
      </w:r>
      <w:r w:rsidR="002E3146">
        <w:rPr>
          <w:rFonts w:cs="Poppins"/>
          <w:color w:val="000000"/>
          <w:szCs w:val="20"/>
          <w:shd w:val="clear" w:color="auto" w:fill="FFFFFF"/>
        </w:rPr>
        <w:t>involvement</w:t>
      </w:r>
      <w:r w:rsidRPr="007475C0">
        <w:rPr>
          <w:rFonts w:cs="Poppins"/>
          <w:color w:val="000000"/>
          <w:szCs w:val="20"/>
          <w:shd w:val="clear" w:color="auto" w:fill="FFFFFF"/>
        </w:rPr>
        <w:t xml:space="preserve"> in Medicare, Medicaid, and Marketplace insurance through reforms that </w:t>
      </w:r>
      <w:proofErr w:type="gramStart"/>
      <w:r w:rsidR="002E3146">
        <w:rPr>
          <w:rFonts w:cs="Poppins"/>
          <w:color w:val="000000"/>
          <w:szCs w:val="20"/>
          <w:shd w:val="clear" w:color="auto" w:fill="FFFFFF"/>
        </w:rPr>
        <w:t>are designed</w:t>
      </w:r>
      <w:proofErr w:type="gramEnd"/>
      <w:r w:rsidR="002E3146">
        <w:rPr>
          <w:rFonts w:cs="Poppins"/>
          <w:color w:val="000000"/>
          <w:szCs w:val="20"/>
          <w:shd w:val="clear" w:color="auto" w:fill="FFFFFF"/>
        </w:rPr>
        <w:t xml:space="preserve"> to make</w:t>
      </w:r>
      <w:r w:rsidRPr="007475C0">
        <w:rPr>
          <w:rFonts w:cs="Poppins"/>
          <w:color w:val="000000"/>
          <w:szCs w:val="20"/>
          <w:shd w:val="clear" w:color="auto" w:fill="FFFFFF"/>
        </w:rPr>
        <w:t xml:space="preserve"> provider participation </w:t>
      </w:r>
      <w:r w:rsidR="00A04F9F">
        <w:rPr>
          <w:rFonts w:cs="Poppins"/>
          <w:color w:val="000000"/>
          <w:szCs w:val="20"/>
          <w:shd w:val="clear" w:color="auto" w:fill="FFFFFF"/>
        </w:rPr>
        <w:t>more attractive</w:t>
      </w:r>
      <w:r w:rsidRPr="007475C0">
        <w:rPr>
          <w:rFonts w:cs="Poppins"/>
          <w:color w:val="000000"/>
          <w:szCs w:val="20"/>
          <w:shd w:val="clear" w:color="auto" w:fill="FFFFFF"/>
        </w:rPr>
        <w:t xml:space="preserve">, promote and </w:t>
      </w:r>
      <w:r w:rsidR="00310B0C">
        <w:rPr>
          <w:rFonts w:cs="Poppins"/>
          <w:color w:val="000000"/>
          <w:szCs w:val="20"/>
          <w:shd w:val="clear" w:color="auto" w:fill="FFFFFF"/>
        </w:rPr>
        <w:t>simplify</w:t>
      </w:r>
      <w:r w:rsidRPr="007475C0">
        <w:rPr>
          <w:rFonts w:cs="Poppins"/>
          <w:color w:val="000000"/>
          <w:szCs w:val="20"/>
          <w:shd w:val="clear" w:color="auto" w:fill="FFFFFF"/>
        </w:rPr>
        <w:t xml:space="preserve"> entry into public insurance, and optimize performance and accountability. </w:t>
      </w:r>
    </w:p>
    <w:p w14:paraId="38CA4830" w14:textId="6A74FE44" w:rsidR="00120C4B" w:rsidRDefault="000C5BE3" w:rsidP="00120C4B">
      <w:pPr>
        <w:pStyle w:val="ListParagraph"/>
        <w:numPr>
          <w:ilvl w:val="0"/>
          <w:numId w:val="1"/>
        </w:numPr>
        <w:spacing w:before="240" w:after="0"/>
        <w:rPr>
          <w:rFonts w:ascii="Poppins Medium" w:hAnsi="Poppins Medium" w:cs="Poppins Medium"/>
          <w:color w:val="0F4761" w:themeColor="accent1" w:themeShade="BF"/>
          <w:sz w:val="24"/>
          <w:szCs w:val="24"/>
        </w:rPr>
      </w:pPr>
      <w:r>
        <w:rPr>
          <w:rFonts w:ascii="Poppins Medium" w:hAnsi="Poppins Medium" w:cs="Poppins Medium"/>
          <w:color w:val="0F4761" w:themeColor="accent1" w:themeShade="BF"/>
          <w:sz w:val="24"/>
          <w:szCs w:val="24"/>
        </w:rPr>
        <w:t>HHS Issues Department-Wide, Division Specific Language Access Plans</w:t>
      </w:r>
    </w:p>
    <w:p w14:paraId="4D75BC6C" w14:textId="67EE17CF" w:rsidR="00120C4B" w:rsidRDefault="009C3E70" w:rsidP="00120C4B">
      <w:pPr>
        <w:pStyle w:val="ListParagraph"/>
        <w:spacing w:before="240" w:after="0"/>
        <w:ind w:left="360"/>
        <w:rPr>
          <w:rFonts w:cs="Poppins"/>
          <w:szCs w:val="20"/>
        </w:rPr>
      </w:pPr>
      <w:r>
        <w:rPr>
          <w:rFonts w:cs="Poppins"/>
          <w:szCs w:val="20"/>
        </w:rPr>
        <w:t>Ahead of</w:t>
      </w:r>
      <w:r w:rsidR="00120C4B" w:rsidRPr="00686BDF">
        <w:rPr>
          <w:rFonts w:cs="Poppins"/>
          <w:szCs w:val="20"/>
        </w:rPr>
        <w:t xml:space="preserve"> the 24</w:t>
      </w:r>
      <w:r w:rsidR="00120C4B" w:rsidRPr="00686BDF">
        <w:rPr>
          <w:rFonts w:cs="Poppins"/>
          <w:szCs w:val="20"/>
          <w:vertAlign w:val="superscript"/>
        </w:rPr>
        <w:t>th</w:t>
      </w:r>
      <w:r w:rsidR="00120C4B" w:rsidRPr="00686BDF">
        <w:rPr>
          <w:rFonts w:cs="Poppins"/>
          <w:szCs w:val="20"/>
        </w:rPr>
        <w:t xml:space="preserve"> anniversary of </w:t>
      </w:r>
      <w:hyperlink r:id="rId17" w:tgtFrame="_blank" w:history="1">
        <w:r w:rsidR="00120C4B" w:rsidRPr="00686BDF">
          <w:rPr>
            <w:rStyle w:val="Hyperlink"/>
            <w:rFonts w:cs="Poppins"/>
            <w:szCs w:val="20"/>
          </w:rPr>
          <w:t>Executive Order 13166</w:t>
        </w:r>
      </w:hyperlink>
      <w:r w:rsidR="00120C4B" w:rsidRPr="00686BDF">
        <w:rPr>
          <w:rFonts w:cs="Poppins"/>
          <w:szCs w:val="20"/>
        </w:rPr>
        <w:t xml:space="preserve">, “Improving Access to Services for Persons with Limited English Proficiency,” the Department of Health and Human Services (HHS) </w:t>
      </w:r>
      <w:hyperlink r:id="rId18" w:tgtFrame="_blank" w:history="1">
        <w:r w:rsidR="00120C4B" w:rsidRPr="00686BDF">
          <w:rPr>
            <w:rStyle w:val="Hyperlink"/>
            <w:rFonts w:cs="Poppins"/>
            <w:szCs w:val="20"/>
          </w:rPr>
          <w:t>issued</w:t>
        </w:r>
      </w:hyperlink>
      <w:r w:rsidR="00120C4B" w:rsidRPr="00686BDF">
        <w:rPr>
          <w:rFonts w:cs="Poppins"/>
          <w:szCs w:val="20"/>
        </w:rPr>
        <w:t xml:space="preserve"> department-wide </w:t>
      </w:r>
      <w:r w:rsidR="005A612D">
        <w:rPr>
          <w:rFonts w:cs="Poppins"/>
          <w:szCs w:val="20"/>
        </w:rPr>
        <w:t xml:space="preserve">division-specific </w:t>
      </w:r>
      <w:r w:rsidR="00120C4B" w:rsidRPr="00686BDF">
        <w:rPr>
          <w:rFonts w:cs="Poppins"/>
          <w:szCs w:val="20"/>
        </w:rPr>
        <w:t>Language Access Plans for people with limited English proficiency (LEP). Secretary Becerra and various Assistant Secretaries expressed their support for Language Access Plans to expand access to HHS services and the Administration’s commitment to equity</w:t>
      </w:r>
      <w:r w:rsidR="005A612D">
        <w:rPr>
          <w:rFonts w:cs="Poppins"/>
          <w:szCs w:val="20"/>
        </w:rPr>
        <w:t xml:space="preserve">, This initiative </w:t>
      </w:r>
      <w:hyperlink r:id="rId19" w:tgtFrame="_blank" w:history="1">
        <w:r w:rsidR="00120C4B" w:rsidRPr="00686BDF">
          <w:rPr>
            <w:rStyle w:val="Hyperlink"/>
            <w:rFonts w:cs="Poppins"/>
            <w:szCs w:val="20"/>
          </w:rPr>
          <w:t>follows</w:t>
        </w:r>
      </w:hyperlink>
      <w:r w:rsidR="00120C4B" w:rsidRPr="00686BDF">
        <w:rPr>
          <w:rFonts w:cs="Poppins"/>
          <w:szCs w:val="20"/>
        </w:rPr>
        <w:t xml:space="preserve"> HHS’s department-wide Language Access Plan from November 2023. </w:t>
      </w:r>
    </w:p>
    <w:p w14:paraId="651B7D4D" w14:textId="77777777" w:rsidR="00120C4B" w:rsidRPr="00120C4B" w:rsidRDefault="00120C4B" w:rsidP="00120C4B">
      <w:pPr>
        <w:pStyle w:val="ListParagraph"/>
        <w:spacing w:before="240" w:after="0"/>
        <w:ind w:left="360"/>
        <w:rPr>
          <w:rFonts w:cs="Poppins"/>
          <w:szCs w:val="20"/>
        </w:rPr>
      </w:pPr>
    </w:p>
    <w:p w14:paraId="0087981F" w14:textId="159C2A0C" w:rsidR="005777A8" w:rsidRPr="00E007ED" w:rsidRDefault="000C5BE3" w:rsidP="005777A8">
      <w:pPr>
        <w:pStyle w:val="ListParagraph"/>
        <w:numPr>
          <w:ilvl w:val="0"/>
          <w:numId w:val="1"/>
        </w:numPr>
        <w:spacing w:before="240" w:after="0"/>
        <w:rPr>
          <w:rFonts w:cs="Poppins"/>
          <w:szCs w:val="20"/>
        </w:rPr>
      </w:pPr>
      <w:r>
        <w:rPr>
          <w:rFonts w:ascii="Poppins Medium" w:hAnsi="Poppins Medium" w:cs="Poppins Medium"/>
          <w:color w:val="0F4761" w:themeColor="accent1" w:themeShade="BF"/>
          <w:sz w:val="24"/>
          <w:szCs w:val="24"/>
        </w:rPr>
        <w:t>HRSA Publishes Data Showing Highest Number of HRSA-Funded Health Center Patients in History of Program</w:t>
      </w:r>
    </w:p>
    <w:p w14:paraId="7F7E7CB6" w14:textId="6284D361" w:rsidR="00B9262A" w:rsidRDefault="00686BDF" w:rsidP="00B9262A">
      <w:pPr>
        <w:spacing w:after="0" w:line="240" w:lineRule="auto"/>
        <w:ind w:left="360"/>
        <w:rPr>
          <w:rFonts w:cs="Poppins"/>
          <w:szCs w:val="20"/>
        </w:rPr>
      </w:pPr>
      <w:r w:rsidRPr="00686BDF">
        <w:rPr>
          <w:rFonts w:cs="Poppins"/>
          <w:szCs w:val="20"/>
        </w:rPr>
        <w:t xml:space="preserve">The Health Resources and Services Administration (HRSA) </w:t>
      </w:r>
      <w:hyperlink r:id="rId20" w:tgtFrame="_blank" w:history="1">
        <w:r w:rsidRPr="00686BDF">
          <w:rPr>
            <w:rStyle w:val="Hyperlink"/>
            <w:rFonts w:cs="Poppins"/>
            <w:szCs w:val="20"/>
          </w:rPr>
          <w:t>released</w:t>
        </w:r>
      </w:hyperlink>
      <w:r w:rsidRPr="00686BDF">
        <w:rPr>
          <w:rFonts w:cs="Poppins"/>
          <w:szCs w:val="20"/>
        </w:rPr>
        <w:t xml:space="preserve"> new data </w:t>
      </w:r>
      <w:r w:rsidR="00870979" w:rsidRPr="00870979">
        <w:rPr>
          <w:rFonts w:cs="Poppins"/>
          <w:szCs w:val="20"/>
        </w:rPr>
        <w:t>showing that HRSA-funded health centers served a total of 31 million patients in 2023, an increase of 2.7 million from 2020.</w:t>
      </w:r>
      <w:r w:rsidRPr="00686BDF">
        <w:rPr>
          <w:rFonts w:cs="Poppins"/>
          <w:szCs w:val="20"/>
        </w:rPr>
        <w:t xml:space="preserve"> HRSA-funded health centers </w:t>
      </w:r>
      <w:proofErr w:type="gramStart"/>
      <w:r w:rsidRPr="00686BDF">
        <w:rPr>
          <w:rFonts w:cs="Poppins"/>
          <w:szCs w:val="20"/>
        </w:rPr>
        <w:t>are required</w:t>
      </w:r>
      <w:proofErr w:type="gramEnd"/>
      <w:r w:rsidRPr="00686BDF">
        <w:rPr>
          <w:rFonts w:cs="Poppins"/>
          <w:szCs w:val="20"/>
        </w:rPr>
        <w:t xml:space="preserve"> to treat patients regardless of ability to pay. In 2023, over 90</w:t>
      </w:r>
      <w:r w:rsidR="003367F2">
        <w:rPr>
          <w:rFonts w:cs="Poppins"/>
          <w:szCs w:val="20"/>
        </w:rPr>
        <w:t>%</w:t>
      </w:r>
      <w:r w:rsidRPr="00686BDF">
        <w:rPr>
          <w:rFonts w:cs="Poppins"/>
          <w:szCs w:val="20"/>
        </w:rPr>
        <w:t xml:space="preserve"> of health center patients had incomes less than double the 2023 Federal Poverty Guidelines. HRSA-funded health centers now serve one in eight children across the country, more than 9.7 million patients in rural areas, and over 1.4 million people experiencing homelessness. Health centers have also expanded their preventive services, screening hundreds of thousands more people for cancer and infectious diseases and caring for patients with substance use disorders. Since 2020, they have administered more than four million HIV tests, treated 585,000 prenatal care patients, and </w:t>
      </w:r>
      <w:r w:rsidR="00F81AD7">
        <w:rPr>
          <w:rFonts w:cs="Poppins"/>
          <w:szCs w:val="20"/>
        </w:rPr>
        <w:t>i</w:t>
      </w:r>
      <w:r w:rsidR="00F81AD7" w:rsidRPr="00F81AD7">
        <w:rPr>
          <w:rFonts w:cs="Poppins"/>
          <w:szCs w:val="20"/>
        </w:rPr>
        <w:t>mproved clinical quality measures for chronic conditions, including an 8% increase in hypertension control and a 7% increase in depression screening.</w:t>
      </w:r>
    </w:p>
    <w:p w14:paraId="0F6D1409" w14:textId="77777777" w:rsidR="00067BCD" w:rsidRPr="005418D5" w:rsidRDefault="00067BCD" w:rsidP="00067BCD">
      <w:pPr>
        <w:pStyle w:val="ListParagraph"/>
        <w:spacing w:before="240" w:after="0"/>
        <w:ind w:left="360"/>
        <w:rPr>
          <w:rFonts w:cs="Poppins"/>
          <w:szCs w:val="20"/>
        </w:rPr>
      </w:pPr>
    </w:p>
    <w:p w14:paraId="73147EBC" w14:textId="42323F64" w:rsidR="005777A8" w:rsidRPr="00E007ED" w:rsidRDefault="000C5BE3" w:rsidP="005777A8">
      <w:pPr>
        <w:pStyle w:val="ListParagraph"/>
        <w:numPr>
          <w:ilvl w:val="0"/>
          <w:numId w:val="1"/>
        </w:numPr>
        <w:spacing w:before="240" w:after="0"/>
        <w:rPr>
          <w:rFonts w:cs="Poppins"/>
          <w:szCs w:val="20"/>
        </w:rPr>
      </w:pPr>
      <w:r>
        <w:rPr>
          <w:rFonts w:ascii="Poppins Medium" w:hAnsi="Poppins Medium" w:cs="Poppins Medium"/>
          <w:color w:val="0F4761" w:themeColor="accent1" w:themeShade="BF"/>
          <w:sz w:val="24"/>
          <w:szCs w:val="24"/>
        </w:rPr>
        <w:t xml:space="preserve">HHS Awards </w:t>
      </w:r>
      <w:proofErr w:type="gramStart"/>
      <w:r>
        <w:rPr>
          <w:rFonts w:ascii="Poppins Medium" w:hAnsi="Poppins Medium" w:cs="Poppins Medium"/>
          <w:color w:val="0F4761" w:themeColor="accent1" w:themeShade="BF"/>
          <w:sz w:val="24"/>
          <w:szCs w:val="24"/>
        </w:rPr>
        <w:t>Nearly $9 million</w:t>
      </w:r>
      <w:proofErr w:type="gramEnd"/>
      <w:r>
        <w:rPr>
          <w:rFonts w:ascii="Poppins Medium" w:hAnsi="Poppins Medium" w:cs="Poppins Medium"/>
          <w:color w:val="0F4761" w:themeColor="accent1" w:themeShade="BF"/>
          <w:sz w:val="24"/>
          <w:szCs w:val="24"/>
        </w:rPr>
        <w:t xml:space="preserve"> to HRSA-funded Health Centers for Cancer Screening Treatment for Underserved Communities</w:t>
      </w:r>
    </w:p>
    <w:p w14:paraId="7BF2BCFF" w14:textId="3623749F" w:rsidR="00CF680F" w:rsidRDefault="00686BDF" w:rsidP="00120C4B">
      <w:pPr>
        <w:spacing w:after="0" w:line="240" w:lineRule="auto"/>
        <w:ind w:left="360"/>
        <w:rPr>
          <w:rFonts w:cs="Poppins"/>
          <w:szCs w:val="20"/>
        </w:rPr>
      </w:pPr>
      <w:r w:rsidRPr="00686BDF">
        <w:rPr>
          <w:rFonts w:cs="Poppins"/>
          <w:szCs w:val="20"/>
        </w:rPr>
        <w:t xml:space="preserve">The U.S. Department of Health and Human Services (HHS), through the Health Resources and Services Administration (HRSA), </w:t>
      </w:r>
      <w:hyperlink r:id="rId21" w:tgtFrame="_blank" w:history="1">
        <w:r w:rsidRPr="00686BDF">
          <w:rPr>
            <w:rStyle w:val="Hyperlink"/>
            <w:rFonts w:cs="Poppins"/>
            <w:szCs w:val="20"/>
          </w:rPr>
          <w:t>awarded</w:t>
        </w:r>
      </w:hyperlink>
      <w:r w:rsidRPr="00686BDF">
        <w:rPr>
          <w:rFonts w:cs="Poppins"/>
          <w:szCs w:val="20"/>
        </w:rPr>
        <w:t xml:space="preserve"> nearly $9 million to 18 HRSA-funded health centers to bolster access to life-saving cancer screenings in underserved communities. The</w:t>
      </w:r>
      <w:r w:rsidR="00D839B3">
        <w:rPr>
          <w:rFonts w:cs="Poppins"/>
          <w:szCs w:val="20"/>
        </w:rPr>
        <w:t>se</w:t>
      </w:r>
      <w:r w:rsidRPr="00686BDF">
        <w:rPr>
          <w:rFonts w:cs="Poppins"/>
          <w:szCs w:val="20"/>
        </w:rPr>
        <w:t xml:space="preserve"> health centers will partner with National Cancer Institute-Designated Cancer Centers to expedite patient access to cancer care and treatment. The </w:t>
      </w:r>
      <w:proofErr w:type="gramStart"/>
      <w:r w:rsidRPr="00686BDF">
        <w:rPr>
          <w:rFonts w:cs="Poppins"/>
          <w:szCs w:val="20"/>
        </w:rPr>
        <w:t>18</w:t>
      </w:r>
      <w:proofErr w:type="gramEnd"/>
      <w:r w:rsidRPr="00686BDF">
        <w:rPr>
          <w:rFonts w:cs="Poppins"/>
          <w:szCs w:val="20"/>
        </w:rPr>
        <w:t xml:space="preserve"> awarded Health Centers serving underserved communities span across California, Colorado, Indiana, New York, Ohio, Oklahoma, Pennsylvania, Texas, Utah, Virginia, and Washington. Th</w:t>
      </w:r>
      <w:r w:rsidR="000370E4">
        <w:rPr>
          <w:rFonts w:cs="Poppins"/>
          <w:szCs w:val="20"/>
        </w:rPr>
        <w:t>is</w:t>
      </w:r>
      <w:r w:rsidRPr="00686BDF">
        <w:rPr>
          <w:rFonts w:cs="Poppins"/>
          <w:szCs w:val="20"/>
        </w:rPr>
        <w:t xml:space="preserve"> funding </w:t>
      </w:r>
      <w:r w:rsidR="000370E4">
        <w:rPr>
          <w:rFonts w:cs="Poppins"/>
          <w:szCs w:val="20"/>
        </w:rPr>
        <w:t>supports</w:t>
      </w:r>
      <w:r w:rsidRPr="00686BDF">
        <w:rPr>
          <w:rFonts w:cs="Poppins"/>
          <w:szCs w:val="20"/>
        </w:rPr>
        <w:t xml:space="preserve"> the Biden Administrations’ </w:t>
      </w:r>
      <w:hyperlink r:id="rId22" w:tgtFrame="_blank" w:history="1">
        <w:r w:rsidRPr="00686BDF">
          <w:rPr>
            <w:rStyle w:val="Hyperlink"/>
            <w:rFonts w:cs="Poppins"/>
            <w:szCs w:val="20"/>
          </w:rPr>
          <w:t>Cancer Moonshot</w:t>
        </w:r>
      </w:hyperlink>
      <w:r w:rsidRPr="00686BDF">
        <w:rPr>
          <w:rFonts w:cs="Poppins"/>
          <w:szCs w:val="20"/>
        </w:rPr>
        <w:t xml:space="preserve"> and builds on the 21</w:t>
      </w:r>
      <w:r w:rsidRPr="00686BDF">
        <w:rPr>
          <w:rFonts w:cs="Poppins"/>
          <w:szCs w:val="20"/>
          <w:vertAlign w:val="superscript"/>
        </w:rPr>
        <w:t>st</w:t>
      </w:r>
      <w:r w:rsidRPr="00686BDF">
        <w:rPr>
          <w:rFonts w:cs="Poppins"/>
          <w:szCs w:val="20"/>
        </w:rPr>
        <w:t xml:space="preserve"> Century Cares Act to </w:t>
      </w:r>
      <w:hyperlink r:id="rId23" w:tgtFrame="_blank" w:history="1">
        <w:r w:rsidRPr="00686BDF">
          <w:rPr>
            <w:rStyle w:val="Hyperlink"/>
            <w:rFonts w:cs="Poppins"/>
            <w:szCs w:val="20"/>
          </w:rPr>
          <w:t>expand</w:t>
        </w:r>
      </w:hyperlink>
      <w:r w:rsidRPr="00686BDF">
        <w:rPr>
          <w:rFonts w:cs="Poppins"/>
          <w:szCs w:val="20"/>
        </w:rPr>
        <w:t xml:space="preserve"> the use of cancer prevention and early detection strategies. HHS previously invested $11 million in 2023 and $5 million in 2022 into HRSA-funded health centers as a part of the Cancer Moonshot. </w:t>
      </w:r>
      <w:r w:rsidR="005777A8" w:rsidRPr="005777A8">
        <w:rPr>
          <w:rFonts w:cs="Poppins"/>
          <w:szCs w:val="20"/>
        </w:rPr>
        <w:t xml:space="preserve"> </w:t>
      </w:r>
    </w:p>
    <w:p w14:paraId="28CDC279" w14:textId="77777777" w:rsidR="00563D11" w:rsidRPr="00120C4B" w:rsidRDefault="00563D11" w:rsidP="00120C4B">
      <w:pPr>
        <w:spacing w:after="0" w:line="240" w:lineRule="auto"/>
        <w:ind w:left="360"/>
        <w:rPr>
          <w:rFonts w:cs="Poppins"/>
          <w:szCs w:val="20"/>
        </w:rPr>
      </w:pPr>
    </w:p>
    <w:p w14:paraId="3AC86750" w14:textId="77777777" w:rsidR="00563D11" w:rsidRPr="00330820" w:rsidRDefault="00563D11" w:rsidP="00563D11">
      <w:pPr>
        <w:pStyle w:val="Heading1"/>
        <w:spacing w:before="0" w:after="0"/>
        <w:rPr>
          <w:rFonts w:ascii="Poppins SemiBold" w:hAnsi="Poppins SemiBold" w:cs="Poppins SemiBold"/>
          <w:sz w:val="8"/>
          <w:szCs w:val="8"/>
        </w:rPr>
      </w:pPr>
      <w:proofErr w:type="gramStart"/>
      <w:r w:rsidRPr="000C35CD">
        <w:rPr>
          <w:rFonts w:ascii="Poppins SemiBold" w:hAnsi="Poppins SemiBold" w:cs="Poppins SemiBold"/>
          <w:sz w:val="32"/>
          <w:szCs w:val="16"/>
        </w:rPr>
        <w:t>What’s</w:t>
      </w:r>
      <w:proofErr w:type="gramEnd"/>
      <w:r w:rsidRPr="000C35CD">
        <w:rPr>
          <w:rFonts w:ascii="Poppins SemiBold" w:hAnsi="Poppins SemiBold" w:cs="Poppins SemiBold"/>
          <w:sz w:val="32"/>
          <w:szCs w:val="16"/>
        </w:rPr>
        <w:t xml:space="preserve"> on Tap</w:t>
      </w:r>
    </w:p>
    <w:p w14:paraId="35303F5B" w14:textId="77777777" w:rsidR="00563D11" w:rsidRPr="002149D1" w:rsidRDefault="00563D11" w:rsidP="00563D11">
      <w:pPr>
        <w:pStyle w:val="ListParagraph"/>
        <w:numPr>
          <w:ilvl w:val="0"/>
          <w:numId w:val="26"/>
        </w:numPr>
        <w:pBdr>
          <w:top w:val="nil"/>
          <w:left w:val="nil"/>
          <w:bottom w:val="nil"/>
          <w:right w:val="nil"/>
          <w:between w:val="nil"/>
        </w:pBdr>
        <w:rPr>
          <w:rFonts w:eastAsia="Calibri" w:cs="Poppins"/>
          <w:bCs/>
          <w:color w:val="000000"/>
          <w:szCs w:val="20"/>
        </w:rPr>
      </w:pPr>
      <w:r w:rsidRPr="002149D1">
        <w:rPr>
          <w:rFonts w:eastAsia="Calibri" w:cs="Poppins"/>
          <w:bCs/>
          <w:color w:val="000000"/>
          <w:szCs w:val="20"/>
        </w:rPr>
        <w:t>Both</w:t>
      </w:r>
      <w:r w:rsidRPr="002149D1">
        <w:rPr>
          <w:rFonts w:cs="Poppins"/>
          <w:szCs w:val="20"/>
        </w:rPr>
        <w:t xml:space="preserve"> </w:t>
      </w:r>
      <w:r w:rsidRPr="002149D1">
        <w:rPr>
          <w:rFonts w:eastAsia="Calibri" w:cs="Poppins"/>
          <w:bCs/>
          <w:color w:val="000000"/>
          <w:szCs w:val="20"/>
        </w:rPr>
        <w:t>the Senate and House have left for their summer recess and will return September 9th.</w:t>
      </w:r>
    </w:p>
    <w:p w14:paraId="16FB50FD" w14:textId="77777777" w:rsidR="00563D11" w:rsidRPr="002149D1" w:rsidRDefault="00563D11" w:rsidP="00563D11">
      <w:pPr>
        <w:pStyle w:val="ListParagraph"/>
        <w:numPr>
          <w:ilvl w:val="0"/>
          <w:numId w:val="26"/>
        </w:numPr>
        <w:pBdr>
          <w:top w:val="nil"/>
          <w:left w:val="nil"/>
          <w:bottom w:val="nil"/>
          <w:right w:val="nil"/>
          <w:between w:val="nil"/>
        </w:pBdr>
        <w:rPr>
          <w:rFonts w:eastAsia="Calibri" w:cs="Poppins"/>
          <w:bCs/>
          <w:color w:val="000000"/>
          <w:szCs w:val="20"/>
        </w:rPr>
      </w:pPr>
      <w:r w:rsidRPr="002149D1">
        <w:rPr>
          <w:rFonts w:eastAsia="Calibri" w:cs="Poppins"/>
          <w:bCs/>
          <w:color w:val="000000"/>
          <w:szCs w:val="20"/>
        </w:rPr>
        <w:t xml:space="preserve">Last week, the Harris campaign announced Minnesota Governor Tim Walz as her running mate for her presidential campaign. The selection of Walz, a former teacher and six-term U.S. representative who served 24 years in the National Guard, seems to have edged the campaign’s health care agenda further to the left. Walz has affirmed that he views health care as a right. With a Democratic state Legislature, he launched </w:t>
      </w:r>
      <w:proofErr w:type="gramStart"/>
      <w:r w:rsidRPr="002149D1">
        <w:rPr>
          <w:rFonts w:eastAsia="Calibri" w:cs="Poppins"/>
          <w:bCs/>
          <w:color w:val="000000"/>
          <w:szCs w:val="20"/>
        </w:rPr>
        <w:t>a number of</w:t>
      </w:r>
      <w:proofErr w:type="gramEnd"/>
      <w:r w:rsidRPr="002149D1">
        <w:rPr>
          <w:rFonts w:eastAsia="Calibri" w:cs="Poppins"/>
          <w:bCs/>
          <w:color w:val="000000"/>
          <w:szCs w:val="20"/>
        </w:rPr>
        <w:t xml:space="preserve"> progressive campaigns during his Minnesota governorship. He created a prescription drug affordability board that sets limits on what insurers pay, signed a </w:t>
      </w:r>
      <w:hyperlink r:id="rId24" w:history="1">
        <w:r w:rsidRPr="002149D1">
          <w:rPr>
            <w:rStyle w:val="Hyperlink"/>
            <w:rFonts w:eastAsia="Calibri" w:cs="Poppins"/>
            <w:bCs/>
            <w:szCs w:val="20"/>
          </w:rPr>
          <w:t>bill</w:t>
        </w:r>
      </w:hyperlink>
      <w:r w:rsidRPr="002149D1">
        <w:rPr>
          <w:rFonts w:eastAsia="Calibri" w:cs="Poppins"/>
          <w:bCs/>
          <w:color w:val="000000"/>
          <w:szCs w:val="20"/>
        </w:rPr>
        <w:t xml:space="preserve"> to help people afford insulin in emergency situations, and oversaw the state as it reached a settlement with Eli Lilly to cap all insulin prices at $35 for the next five years. Walz also championed the Minnesota Health Care Access Fund, which helps fund health care coverage for low-income state residents, signed a bill making the right to an abortion a state law, signed legislation legalizing adult-use marijuana in his state, and signed an </w:t>
      </w:r>
      <w:hyperlink r:id="rId25" w:history="1">
        <w:r w:rsidRPr="002149D1">
          <w:rPr>
            <w:rStyle w:val="Hyperlink"/>
            <w:rFonts w:eastAsia="Calibri" w:cs="Poppins"/>
            <w:bCs/>
            <w:szCs w:val="20"/>
          </w:rPr>
          <w:t>executive</w:t>
        </w:r>
      </w:hyperlink>
      <w:r w:rsidRPr="002149D1">
        <w:rPr>
          <w:rFonts w:eastAsia="Calibri" w:cs="Poppins"/>
          <w:bCs/>
          <w:color w:val="000000"/>
          <w:szCs w:val="20"/>
        </w:rPr>
        <w:t xml:space="preserve"> order protecting gender affirming healthcare. However, the Harris-Walz campaign has not specifically outlined their health care positions compared to the Biden-Harris administration </w:t>
      </w:r>
      <w:proofErr w:type="gramStart"/>
      <w:r w:rsidRPr="002149D1">
        <w:rPr>
          <w:rFonts w:eastAsia="Calibri" w:cs="Poppins"/>
          <w:bCs/>
          <w:color w:val="000000"/>
          <w:szCs w:val="20"/>
        </w:rPr>
        <w:t>as of yet</w:t>
      </w:r>
      <w:proofErr w:type="gramEnd"/>
      <w:r w:rsidRPr="002149D1">
        <w:rPr>
          <w:rFonts w:eastAsia="Calibri" w:cs="Poppins"/>
          <w:bCs/>
          <w:color w:val="000000"/>
          <w:szCs w:val="20"/>
        </w:rPr>
        <w:t>.</w:t>
      </w:r>
    </w:p>
    <w:p w14:paraId="425EC5F6" w14:textId="77777777" w:rsidR="00563D11" w:rsidRDefault="00563D11" w:rsidP="00563D11">
      <w:pPr>
        <w:pStyle w:val="ListParagraph"/>
        <w:numPr>
          <w:ilvl w:val="0"/>
          <w:numId w:val="26"/>
        </w:numPr>
        <w:pBdr>
          <w:top w:val="nil"/>
          <w:left w:val="nil"/>
          <w:bottom w:val="nil"/>
          <w:right w:val="nil"/>
          <w:between w:val="nil"/>
        </w:pBdr>
        <w:rPr>
          <w:rFonts w:eastAsia="Calibri" w:cs="Poppins"/>
          <w:bCs/>
          <w:color w:val="000000"/>
          <w:szCs w:val="20"/>
        </w:rPr>
      </w:pPr>
      <w:r w:rsidRPr="002149D1">
        <w:rPr>
          <w:rFonts w:eastAsia="Calibri" w:cs="Poppins"/>
          <w:bCs/>
          <w:color w:val="000000"/>
          <w:szCs w:val="20"/>
        </w:rPr>
        <w:t xml:space="preserve">On Thursday, August </w:t>
      </w:r>
      <w:r>
        <w:rPr>
          <w:rFonts w:eastAsia="Calibri" w:cs="Poppins"/>
          <w:bCs/>
          <w:color w:val="000000"/>
          <w:szCs w:val="20"/>
        </w:rPr>
        <w:t>15th</w:t>
      </w:r>
      <w:r w:rsidRPr="002149D1">
        <w:rPr>
          <w:rFonts w:eastAsia="Calibri" w:cs="Poppins"/>
          <w:bCs/>
          <w:color w:val="000000"/>
          <w:szCs w:val="20"/>
        </w:rPr>
        <w:t xml:space="preserve">, the White House </w:t>
      </w:r>
      <w:proofErr w:type="gramStart"/>
      <w:r w:rsidRPr="002149D1">
        <w:rPr>
          <w:rFonts w:eastAsia="Calibri" w:cs="Poppins"/>
          <w:bCs/>
          <w:color w:val="000000"/>
          <w:szCs w:val="20"/>
        </w:rPr>
        <w:t>is expected</w:t>
      </w:r>
      <w:proofErr w:type="gramEnd"/>
      <w:r w:rsidRPr="002149D1">
        <w:rPr>
          <w:rFonts w:eastAsia="Calibri" w:cs="Poppins"/>
          <w:bCs/>
          <w:color w:val="000000"/>
          <w:szCs w:val="20"/>
        </w:rPr>
        <w:t xml:space="preserve"> to describe the outcomes of its first 10 Medicare price negotiations with drugmakers under the Inflation Reduction Act. While it is unclear how specific the announcement will be, the Biden administration </w:t>
      </w:r>
      <w:proofErr w:type="gramStart"/>
      <w:r w:rsidRPr="002149D1">
        <w:rPr>
          <w:rFonts w:eastAsia="Calibri" w:cs="Poppins"/>
          <w:bCs/>
          <w:color w:val="000000"/>
          <w:szCs w:val="20"/>
        </w:rPr>
        <w:t>is predicted</w:t>
      </w:r>
      <w:proofErr w:type="gramEnd"/>
      <w:r w:rsidRPr="002149D1">
        <w:rPr>
          <w:rFonts w:eastAsia="Calibri" w:cs="Poppins"/>
          <w:bCs/>
          <w:color w:val="000000"/>
          <w:szCs w:val="20"/>
        </w:rPr>
        <w:t xml:space="preserve"> to highlight the savings that patients can expect starting in 2026. The administration faces a September 1</w:t>
      </w:r>
      <w:r w:rsidRPr="002149D1">
        <w:rPr>
          <w:rFonts w:eastAsia="Calibri" w:cs="Poppins"/>
          <w:bCs/>
          <w:color w:val="000000"/>
          <w:szCs w:val="20"/>
          <w:vertAlign w:val="superscript"/>
        </w:rPr>
        <w:t>st</w:t>
      </w:r>
      <w:r w:rsidRPr="002149D1">
        <w:rPr>
          <w:rFonts w:eastAsia="Calibri" w:cs="Poppins"/>
          <w:bCs/>
          <w:color w:val="000000"/>
          <w:szCs w:val="20"/>
        </w:rPr>
        <w:t xml:space="preserve"> deadline to disclose negotiated rates from discussions between drugmakers and federal health officials that began last October, </w:t>
      </w:r>
      <w:r w:rsidRPr="002149D1">
        <w:rPr>
          <w:rFonts w:eastAsia="Calibri" w:cs="Poppins"/>
          <w:bCs/>
          <w:color w:val="000000"/>
          <w:szCs w:val="20"/>
        </w:rPr>
        <w:lastRenderedPageBreak/>
        <w:t xml:space="preserve">when selected drug manufacturers agreed to opt into the process. Medicare must then explain how it arrived at the prices by March 1 before they kick in on January 1, 2026. The agency plans to finalize guidance this fall for the next round of negotiations and will publish the new list of up to </w:t>
      </w:r>
      <w:proofErr w:type="gramStart"/>
      <w:r w:rsidRPr="002149D1">
        <w:rPr>
          <w:rFonts w:eastAsia="Calibri" w:cs="Poppins"/>
          <w:bCs/>
          <w:color w:val="000000"/>
          <w:szCs w:val="20"/>
        </w:rPr>
        <w:t>15</w:t>
      </w:r>
      <w:proofErr w:type="gramEnd"/>
      <w:r w:rsidRPr="002149D1">
        <w:rPr>
          <w:rFonts w:eastAsia="Calibri" w:cs="Poppins"/>
          <w:bCs/>
          <w:color w:val="000000"/>
          <w:szCs w:val="20"/>
        </w:rPr>
        <w:t xml:space="preserve"> drugs selected by February 1</w:t>
      </w:r>
      <w:r>
        <w:rPr>
          <w:rFonts w:eastAsia="Calibri" w:cs="Poppins"/>
          <w:bCs/>
          <w:color w:val="000000"/>
          <w:szCs w:val="20"/>
        </w:rPr>
        <w:t>st</w:t>
      </w:r>
      <w:r w:rsidRPr="002149D1">
        <w:rPr>
          <w:rFonts w:eastAsia="Calibri" w:cs="Poppins"/>
          <w:bCs/>
          <w:color w:val="000000"/>
          <w:szCs w:val="20"/>
        </w:rPr>
        <w:t>.</w:t>
      </w:r>
    </w:p>
    <w:p w14:paraId="48DD5638" w14:textId="77777777" w:rsidR="00563D11" w:rsidRDefault="00563D11" w:rsidP="00563D11">
      <w:pPr>
        <w:pStyle w:val="ListParagraph"/>
        <w:pBdr>
          <w:top w:val="nil"/>
          <w:left w:val="nil"/>
          <w:bottom w:val="nil"/>
          <w:right w:val="nil"/>
          <w:between w:val="nil"/>
        </w:pBdr>
        <w:rPr>
          <w:rFonts w:eastAsia="Calibri" w:cs="Poppins"/>
          <w:bCs/>
          <w:color w:val="000000"/>
          <w:szCs w:val="20"/>
        </w:rPr>
      </w:pPr>
    </w:p>
    <w:p w14:paraId="11908CD6" w14:textId="77777777" w:rsidR="005418D5" w:rsidRDefault="005418D5" w:rsidP="00CF680F">
      <w:pPr>
        <w:pStyle w:val="ListParagraph"/>
        <w:spacing w:before="240" w:after="0"/>
        <w:ind w:left="360"/>
        <w:rPr>
          <w:rFonts w:cs="Poppins"/>
          <w:szCs w:val="20"/>
        </w:rPr>
      </w:pPr>
    </w:p>
    <w:p w14:paraId="664AD8D0" w14:textId="77777777" w:rsidR="00051528" w:rsidRDefault="00051528" w:rsidP="00051528">
      <w:pPr>
        <w:spacing w:after="0" w:line="240" w:lineRule="auto"/>
        <w:ind w:left="360"/>
        <w:rPr>
          <w:rFonts w:cs="Poppins"/>
          <w:szCs w:val="20"/>
        </w:rPr>
      </w:pPr>
    </w:p>
    <w:p w14:paraId="2657C467" w14:textId="77777777" w:rsidR="007902C2" w:rsidRPr="006D3744" w:rsidRDefault="007902C2" w:rsidP="007902C2">
      <w:pPr>
        <w:spacing w:after="0" w:line="240" w:lineRule="auto"/>
        <w:rPr>
          <w:rFonts w:ascii="Poppins Medium" w:hAnsi="Poppins Medium" w:cs="Poppins Medium"/>
          <w:color w:val="0F4761" w:themeColor="accent1" w:themeShade="BF"/>
          <w:sz w:val="24"/>
          <w:szCs w:val="24"/>
        </w:rPr>
      </w:pPr>
    </w:p>
    <w:p w14:paraId="09C713F1" w14:textId="363D11E2" w:rsidR="00CD4912" w:rsidRDefault="00226ACA">
      <w:r>
        <w:rPr>
          <w:noProof/>
        </w:rPr>
        <w:drawing>
          <wp:inline distT="0" distB="0" distL="0" distR="0" wp14:anchorId="3D61299C" wp14:editId="538626C7">
            <wp:extent cx="2275737" cy="565486"/>
            <wp:effectExtent l="0" t="0" r="0" b="6350"/>
            <wp:docPr id="1005517528"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517528" name="Picture 1" descr="A blue and white logo&#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275737" cy="565486"/>
                    </a:xfrm>
                    <a:prstGeom prst="rect">
                      <a:avLst/>
                    </a:prstGeom>
                  </pic:spPr>
                </pic:pic>
              </a:graphicData>
            </a:graphic>
          </wp:inline>
        </w:drawing>
      </w:r>
      <w:r>
        <w:tab/>
      </w:r>
      <w:r>
        <w:tab/>
      </w:r>
      <w:r>
        <w:tab/>
      </w:r>
      <w:r>
        <w:tab/>
      </w:r>
      <w:r>
        <w:tab/>
      </w:r>
      <w:r>
        <w:tab/>
      </w:r>
      <w:r>
        <w:rPr>
          <w:noProof/>
        </w:rPr>
        <w:drawing>
          <wp:inline distT="0" distB="0" distL="0" distR="0" wp14:anchorId="5C8A89B7" wp14:editId="78AA6CCD">
            <wp:extent cx="1364036" cy="562148"/>
            <wp:effectExtent l="0" t="0" r="7620" b="9525"/>
            <wp:docPr id="356480994" name="Picture 5"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480994" name="Picture 5" descr="A blue and black logo&#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364036" cy="562148"/>
                    </a:xfrm>
                    <a:prstGeom prst="rect">
                      <a:avLst/>
                    </a:prstGeom>
                  </pic:spPr>
                </pic:pic>
              </a:graphicData>
            </a:graphic>
          </wp:inline>
        </w:drawing>
      </w:r>
      <w:r>
        <w:tab/>
      </w:r>
      <w:r>
        <w:tab/>
      </w:r>
      <w:r>
        <w:tab/>
      </w:r>
      <w:r>
        <w:rPr>
          <w:noProof/>
        </w:rPr>
        <w:t xml:space="preserve">       </w:t>
      </w:r>
    </w:p>
    <w:sectPr w:rsidR="00CD4912" w:rsidSect="00226ACA">
      <w:headerReference w:type="default" r:id="rId28"/>
      <w:footerReference w:type="default" r:id="rId29"/>
      <w:pgSz w:w="12240" w:h="15840"/>
      <w:pgMar w:top="1440" w:right="1440" w:bottom="1440" w:left="144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A276F8" w14:textId="77777777" w:rsidR="007D76DE" w:rsidRDefault="007D76DE">
      <w:pPr>
        <w:spacing w:after="0" w:line="240" w:lineRule="auto"/>
      </w:pPr>
      <w:r>
        <w:separator/>
      </w:r>
    </w:p>
  </w:endnote>
  <w:endnote w:type="continuationSeparator" w:id="0">
    <w:p w14:paraId="3323A0D9" w14:textId="77777777" w:rsidR="007D76DE" w:rsidRDefault="007D76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 w:name="Aptos Display">
    <w:charset w:val="00"/>
    <w:family w:val="swiss"/>
    <w:pitch w:val="variable"/>
    <w:sig w:usb0="20000287" w:usb1="00000003" w:usb2="00000000" w:usb3="00000000" w:csb0="0000019F" w:csb1="00000000"/>
  </w:font>
  <w:font w:name="Poppins SemiBold">
    <w:charset w:val="00"/>
    <w:family w:val="auto"/>
    <w:pitch w:val="variable"/>
    <w:sig w:usb0="00008007" w:usb1="00000000" w:usb2="00000000" w:usb3="00000000" w:csb0="00000093" w:csb1="00000000"/>
  </w:font>
  <w:font w:name="Poppins Medium">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1AB5B1" w14:textId="77777777" w:rsidR="00C65C71" w:rsidRDefault="004D09B8">
    <w:pPr>
      <w:pStyle w:val="Footer"/>
    </w:pPr>
    <w:r>
      <w:rPr>
        <w:noProof/>
      </w:rPr>
      <mc:AlternateContent>
        <mc:Choice Requires="wps">
          <w:drawing>
            <wp:anchor distT="0" distB="0" distL="114300" distR="114300" simplePos="0" relativeHeight="251659264" behindDoc="0" locked="0" layoutInCell="1" allowOverlap="1" wp14:anchorId="577AF9C1" wp14:editId="23CC4A2A">
              <wp:simplePos x="0" y="0"/>
              <wp:positionH relativeFrom="column">
                <wp:posOffset>-1036320</wp:posOffset>
              </wp:positionH>
              <wp:positionV relativeFrom="paragraph">
                <wp:posOffset>152400</wp:posOffset>
              </wp:positionV>
              <wp:extent cx="7894320" cy="388620"/>
              <wp:effectExtent l="0" t="0" r="0" b="0"/>
              <wp:wrapNone/>
              <wp:docPr id="1658646027" name="Rectangle 2"/>
              <wp:cNvGraphicFramePr/>
              <a:graphic xmlns:a="http://schemas.openxmlformats.org/drawingml/2006/main">
                <a:graphicData uri="http://schemas.microsoft.com/office/word/2010/wordprocessingShape">
                  <wps:wsp>
                    <wps:cNvSpPr/>
                    <wps:spPr>
                      <a:xfrm>
                        <a:off x="0" y="0"/>
                        <a:ext cx="7894320" cy="388620"/>
                      </a:xfrm>
                      <a:prstGeom prst="rect">
                        <a:avLst/>
                      </a:prstGeom>
                      <a:solidFill>
                        <a:srgbClr val="0E6EB6">
                          <a:alpha val="6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D4D94D4" w14:textId="77777777" w:rsidR="00C65C71" w:rsidRPr="00107726" w:rsidRDefault="004D09B8" w:rsidP="00807596">
                          <w:pPr>
                            <w:jc w:val="center"/>
                            <w:rPr>
                              <w:sz w:val="24"/>
                              <w:szCs w:val="24"/>
                            </w:rPr>
                          </w:pPr>
                          <w:r w:rsidRPr="000D6AA0">
                            <w:rPr>
                              <w:sz w:val="24"/>
                              <w:szCs w:val="24"/>
                            </w:rPr>
                            <w:t>www.</w:t>
                          </w:r>
                          <w:r>
                            <w:rPr>
                              <w:sz w:val="24"/>
                              <w:szCs w:val="24"/>
                            </w:rPr>
                            <w:t>specialneedsalliance</w:t>
                          </w:r>
                          <w:r w:rsidRPr="000D6AA0">
                            <w:rPr>
                              <w:sz w:val="24"/>
                              <w:szCs w:val="24"/>
                            </w:rPr>
                            <w:t>.org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7AF9C1" id="Rectangle 2" o:spid="_x0000_s1026" style="position:absolute;margin-left:-81.6pt;margin-top:12pt;width:621.6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" fillcolor="#0e6eb6" stroked="f" strokeweight="1pt">
              <v:fill opacity="39321f"/>
              <v:textbox>
                <w:txbxContent>
                  <w:p w14:paraId="1D4D94D4" w14:textId="77777777" w:rsidR="00C65C71" w:rsidRPr="00107726" w:rsidRDefault="004D09B8" w:rsidP="00807596">
                    <w:pPr>
                      <w:jc w:val="center"/>
                      <w:rPr>
                        <w:sz w:val="24"/>
                        <w:szCs w:val="24"/>
                      </w:rPr>
                    </w:pPr>
                    <w:r w:rsidRPr="000D6AA0">
                      <w:rPr>
                        <w:sz w:val="24"/>
                        <w:szCs w:val="24"/>
                      </w:rPr>
                      <w:t>www.</w:t>
                    </w:r>
                    <w:r>
                      <w:rPr>
                        <w:sz w:val="24"/>
                        <w:szCs w:val="24"/>
                      </w:rPr>
                      <w:t>specialneedsalliance</w:t>
                    </w:r>
                    <w:r w:rsidRPr="000D6AA0">
                      <w:rPr>
                        <w:sz w:val="24"/>
                        <w:szCs w:val="24"/>
                      </w:rPr>
                      <w:t>.org</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2E5530" w14:textId="77777777" w:rsidR="007D76DE" w:rsidRDefault="007D76DE">
      <w:pPr>
        <w:spacing w:after="0" w:line="240" w:lineRule="auto"/>
      </w:pPr>
      <w:r>
        <w:separator/>
      </w:r>
    </w:p>
  </w:footnote>
  <w:footnote w:type="continuationSeparator" w:id="0">
    <w:p w14:paraId="13026265" w14:textId="77777777" w:rsidR="007D76DE" w:rsidRDefault="007D76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74AF35" w14:textId="77777777" w:rsidR="00C65C71" w:rsidRDefault="004D09B8" w:rsidP="00D6115A">
    <w:pPr>
      <w:pStyle w:val="Heading1"/>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55EAB"/>
    <w:multiLevelType w:val="multilevel"/>
    <w:tmpl w:val="470A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DD4056"/>
    <w:multiLevelType w:val="multilevel"/>
    <w:tmpl w:val="B0D2E6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EE03D2"/>
    <w:multiLevelType w:val="multilevel"/>
    <w:tmpl w:val="6C127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9B0BA8"/>
    <w:multiLevelType w:val="multilevel"/>
    <w:tmpl w:val="D1B6A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E77B64"/>
    <w:multiLevelType w:val="multilevel"/>
    <w:tmpl w:val="EA461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C71EEF"/>
    <w:multiLevelType w:val="hybridMultilevel"/>
    <w:tmpl w:val="6512C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6A30C2"/>
    <w:multiLevelType w:val="multilevel"/>
    <w:tmpl w:val="65CE0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6BC336F"/>
    <w:multiLevelType w:val="hybridMultilevel"/>
    <w:tmpl w:val="E8E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5C6D31"/>
    <w:multiLevelType w:val="multilevel"/>
    <w:tmpl w:val="619A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CF20253"/>
    <w:multiLevelType w:val="hybridMultilevel"/>
    <w:tmpl w:val="94285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3A7C7C"/>
    <w:multiLevelType w:val="hybridMultilevel"/>
    <w:tmpl w:val="08D63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806B17"/>
    <w:multiLevelType w:val="hybridMultilevel"/>
    <w:tmpl w:val="C912317E"/>
    <w:lvl w:ilvl="0" w:tplc="231C713E">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FE0632"/>
    <w:multiLevelType w:val="hybridMultilevel"/>
    <w:tmpl w:val="8D2C581E"/>
    <w:lvl w:ilvl="0" w:tplc="E354D2DC">
      <w:start w:val="1"/>
      <w:numFmt w:val="bullet"/>
      <w:lvlText w:val=""/>
      <w:lvlJc w:val="left"/>
      <w:pPr>
        <w:ind w:left="720" w:hanging="360"/>
      </w:pPr>
      <w:rPr>
        <w:rFonts w:ascii="Symbol" w:hAnsi="Symbol" w:hint="default"/>
        <w:sz w:val="20"/>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A615A3"/>
    <w:multiLevelType w:val="hybridMultilevel"/>
    <w:tmpl w:val="84FAD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4737D7"/>
    <w:multiLevelType w:val="hybridMultilevel"/>
    <w:tmpl w:val="E1F65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137F91"/>
    <w:multiLevelType w:val="hybridMultilevel"/>
    <w:tmpl w:val="D304D7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C5E7708"/>
    <w:multiLevelType w:val="hybridMultilevel"/>
    <w:tmpl w:val="59E41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86796C"/>
    <w:multiLevelType w:val="multilevel"/>
    <w:tmpl w:val="0032E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2BC504D"/>
    <w:multiLevelType w:val="hybridMultilevel"/>
    <w:tmpl w:val="AE3A8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547DD9"/>
    <w:multiLevelType w:val="multilevel"/>
    <w:tmpl w:val="76A88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A384FF9"/>
    <w:multiLevelType w:val="hybridMultilevel"/>
    <w:tmpl w:val="8DD6E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371E87"/>
    <w:multiLevelType w:val="multilevel"/>
    <w:tmpl w:val="A43E7E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8A5765"/>
    <w:multiLevelType w:val="hybridMultilevel"/>
    <w:tmpl w:val="FAECC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142574"/>
    <w:multiLevelType w:val="multilevel"/>
    <w:tmpl w:val="0C5476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EDE1A07"/>
    <w:multiLevelType w:val="hybridMultilevel"/>
    <w:tmpl w:val="79089B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2644476"/>
    <w:multiLevelType w:val="multilevel"/>
    <w:tmpl w:val="2F80B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6C70F64"/>
    <w:multiLevelType w:val="hybridMultilevel"/>
    <w:tmpl w:val="22A2FA5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4993187">
    <w:abstractNumId w:val="26"/>
  </w:num>
  <w:num w:numId="2" w16cid:durableId="127743416">
    <w:abstractNumId w:val="23"/>
  </w:num>
  <w:num w:numId="3" w16cid:durableId="1916818253">
    <w:abstractNumId w:val="24"/>
  </w:num>
  <w:num w:numId="4" w16cid:durableId="1562860064">
    <w:abstractNumId w:val="14"/>
  </w:num>
  <w:num w:numId="5" w16cid:durableId="747187781">
    <w:abstractNumId w:val="20"/>
  </w:num>
  <w:num w:numId="6" w16cid:durableId="360473614">
    <w:abstractNumId w:val="11"/>
  </w:num>
  <w:num w:numId="7" w16cid:durableId="2074813228">
    <w:abstractNumId w:val="21"/>
  </w:num>
  <w:num w:numId="8" w16cid:durableId="612904506">
    <w:abstractNumId w:val="5"/>
  </w:num>
  <w:num w:numId="9" w16cid:durableId="941183654">
    <w:abstractNumId w:val="22"/>
  </w:num>
  <w:num w:numId="10" w16cid:durableId="916745150">
    <w:abstractNumId w:val="12"/>
  </w:num>
  <w:num w:numId="11" w16cid:durableId="1211113321">
    <w:abstractNumId w:val="13"/>
  </w:num>
  <w:num w:numId="12" w16cid:durableId="444888970">
    <w:abstractNumId w:val="16"/>
  </w:num>
  <w:num w:numId="13" w16cid:durableId="1860123175">
    <w:abstractNumId w:val="7"/>
  </w:num>
  <w:num w:numId="14" w16cid:durableId="31660070">
    <w:abstractNumId w:val="10"/>
  </w:num>
  <w:num w:numId="15" w16cid:durableId="1157381680">
    <w:abstractNumId w:val="25"/>
  </w:num>
  <w:num w:numId="16" w16cid:durableId="2024474500">
    <w:abstractNumId w:val="2"/>
  </w:num>
  <w:num w:numId="17" w16cid:durableId="158468993">
    <w:abstractNumId w:val="15"/>
  </w:num>
  <w:num w:numId="18" w16cid:durableId="51200545">
    <w:abstractNumId w:val="0"/>
  </w:num>
  <w:num w:numId="19" w16cid:durableId="821049104">
    <w:abstractNumId w:val="3"/>
  </w:num>
  <w:num w:numId="20" w16cid:durableId="1487672424">
    <w:abstractNumId w:val="8"/>
  </w:num>
  <w:num w:numId="21" w16cid:durableId="1602059276">
    <w:abstractNumId w:val="4"/>
  </w:num>
  <w:num w:numId="22" w16cid:durableId="47806563">
    <w:abstractNumId w:val="6"/>
  </w:num>
  <w:num w:numId="23" w16cid:durableId="305356633">
    <w:abstractNumId w:val="19"/>
  </w:num>
  <w:num w:numId="24" w16cid:durableId="678628084">
    <w:abstractNumId w:val="17"/>
  </w:num>
  <w:num w:numId="25" w16cid:durableId="1807039519">
    <w:abstractNumId w:val="9"/>
  </w:num>
  <w:num w:numId="26" w16cid:durableId="106318828">
    <w:abstractNumId w:val="18"/>
  </w:num>
  <w:num w:numId="27" w16cid:durableId="7056382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E02"/>
    <w:rsid w:val="00014E8F"/>
    <w:rsid w:val="00015602"/>
    <w:rsid w:val="000208F6"/>
    <w:rsid w:val="000302F7"/>
    <w:rsid w:val="00036379"/>
    <w:rsid w:val="000370E4"/>
    <w:rsid w:val="00051528"/>
    <w:rsid w:val="0005263B"/>
    <w:rsid w:val="00067BCD"/>
    <w:rsid w:val="000712FF"/>
    <w:rsid w:val="00081CF8"/>
    <w:rsid w:val="000B019E"/>
    <w:rsid w:val="000C35CD"/>
    <w:rsid w:val="000C5BE3"/>
    <w:rsid w:val="000E139B"/>
    <w:rsid w:val="000E596A"/>
    <w:rsid w:val="001139FB"/>
    <w:rsid w:val="0011568D"/>
    <w:rsid w:val="00120C4B"/>
    <w:rsid w:val="0012379B"/>
    <w:rsid w:val="00123C77"/>
    <w:rsid w:val="00126FE3"/>
    <w:rsid w:val="00133E00"/>
    <w:rsid w:val="001371D5"/>
    <w:rsid w:val="0015610B"/>
    <w:rsid w:val="00170AD9"/>
    <w:rsid w:val="00171D37"/>
    <w:rsid w:val="001903AC"/>
    <w:rsid w:val="00193422"/>
    <w:rsid w:val="001969C9"/>
    <w:rsid w:val="001A2FE6"/>
    <w:rsid w:val="001A4A3F"/>
    <w:rsid w:val="001C724D"/>
    <w:rsid w:val="001D3E3A"/>
    <w:rsid w:val="001D4903"/>
    <w:rsid w:val="001E6F1C"/>
    <w:rsid w:val="001E7A08"/>
    <w:rsid w:val="001F50C3"/>
    <w:rsid w:val="002149D1"/>
    <w:rsid w:val="00216565"/>
    <w:rsid w:val="00217B47"/>
    <w:rsid w:val="00220477"/>
    <w:rsid w:val="00226ACA"/>
    <w:rsid w:val="00266E15"/>
    <w:rsid w:val="00273583"/>
    <w:rsid w:val="0027672E"/>
    <w:rsid w:val="002826A6"/>
    <w:rsid w:val="00286B7D"/>
    <w:rsid w:val="00295944"/>
    <w:rsid w:val="002E01A4"/>
    <w:rsid w:val="002E1270"/>
    <w:rsid w:val="002E15F2"/>
    <w:rsid w:val="002E3146"/>
    <w:rsid w:val="002F004A"/>
    <w:rsid w:val="002F5FAF"/>
    <w:rsid w:val="00310B0C"/>
    <w:rsid w:val="00310E21"/>
    <w:rsid w:val="00330820"/>
    <w:rsid w:val="003367F2"/>
    <w:rsid w:val="00357A9C"/>
    <w:rsid w:val="00360BBB"/>
    <w:rsid w:val="00390A90"/>
    <w:rsid w:val="003C28F2"/>
    <w:rsid w:val="003D5D0C"/>
    <w:rsid w:val="00402772"/>
    <w:rsid w:val="00405BFA"/>
    <w:rsid w:val="0040687F"/>
    <w:rsid w:val="00443633"/>
    <w:rsid w:val="00451283"/>
    <w:rsid w:val="00454CD1"/>
    <w:rsid w:val="0046695A"/>
    <w:rsid w:val="0047795D"/>
    <w:rsid w:val="004B29FC"/>
    <w:rsid w:val="004C0221"/>
    <w:rsid w:val="004D09B8"/>
    <w:rsid w:val="004D15B9"/>
    <w:rsid w:val="004D16A4"/>
    <w:rsid w:val="004F260C"/>
    <w:rsid w:val="004F472A"/>
    <w:rsid w:val="004F700C"/>
    <w:rsid w:val="005000B1"/>
    <w:rsid w:val="00500ECF"/>
    <w:rsid w:val="0052351C"/>
    <w:rsid w:val="00540E02"/>
    <w:rsid w:val="005418D5"/>
    <w:rsid w:val="005509FC"/>
    <w:rsid w:val="005554AE"/>
    <w:rsid w:val="00563D11"/>
    <w:rsid w:val="005777A8"/>
    <w:rsid w:val="005828B4"/>
    <w:rsid w:val="00592381"/>
    <w:rsid w:val="0059241D"/>
    <w:rsid w:val="005A612D"/>
    <w:rsid w:val="005A6EEF"/>
    <w:rsid w:val="005C43DF"/>
    <w:rsid w:val="00606A05"/>
    <w:rsid w:val="00612F79"/>
    <w:rsid w:val="00614EFF"/>
    <w:rsid w:val="00615D8C"/>
    <w:rsid w:val="006258FD"/>
    <w:rsid w:val="00634DB2"/>
    <w:rsid w:val="00656DE9"/>
    <w:rsid w:val="00657D1D"/>
    <w:rsid w:val="006622DA"/>
    <w:rsid w:val="006710C0"/>
    <w:rsid w:val="00686B2C"/>
    <w:rsid w:val="00686BDF"/>
    <w:rsid w:val="006B6E77"/>
    <w:rsid w:val="006C0764"/>
    <w:rsid w:val="006D3744"/>
    <w:rsid w:val="006F4795"/>
    <w:rsid w:val="0071082E"/>
    <w:rsid w:val="0072131F"/>
    <w:rsid w:val="00733CC7"/>
    <w:rsid w:val="00736378"/>
    <w:rsid w:val="00742A7E"/>
    <w:rsid w:val="007475C0"/>
    <w:rsid w:val="0075315A"/>
    <w:rsid w:val="00754D4E"/>
    <w:rsid w:val="007902C2"/>
    <w:rsid w:val="00791F13"/>
    <w:rsid w:val="007927F6"/>
    <w:rsid w:val="0079619C"/>
    <w:rsid w:val="00797007"/>
    <w:rsid w:val="007C09BF"/>
    <w:rsid w:val="007D76DE"/>
    <w:rsid w:val="007E4E3A"/>
    <w:rsid w:val="007E63EA"/>
    <w:rsid w:val="007E698D"/>
    <w:rsid w:val="00814EEF"/>
    <w:rsid w:val="00870979"/>
    <w:rsid w:val="00875E32"/>
    <w:rsid w:val="00882C7E"/>
    <w:rsid w:val="00884C56"/>
    <w:rsid w:val="008A1F3D"/>
    <w:rsid w:val="008A46E3"/>
    <w:rsid w:val="008A5D11"/>
    <w:rsid w:val="008C4D88"/>
    <w:rsid w:val="008C52D4"/>
    <w:rsid w:val="008C7B5F"/>
    <w:rsid w:val="008E5B5D"/>
    <w:rsid w:val="0091632C"/>
    <w:rsid w:val="00952320"/>
    <w:rsid w:val="00956EC5"/>
    <w:rsid w:val="00990DB2"/>
    <w:rsid w:val="009A0A17"/>
    <w:rsid w:val="009C3E70"/>
    <w:rsid w:val="009D03D3"/>
    <w:rsid w:val="009D4885"/>
    <w:rsid w:val="009E143A"/>
    <w:rsid w:val="009E754B"/>
    <w:rsid w:val="00A04F9F"/>
    <w:rsid w:val="00A106A5"/>
    <w:rsid w:val="00A34162"/>
    <w:rsid w:val="00A66668"/>
    <w:rsid w:val="00A73302"/>
    <w:rsid w:val="00A97B81"/>
    <w:rsid w:val="00AA24EE"/>
    <w:rsid w:val="00AB79C4"/>
    <w:rsid w:val="00AC375B"/>
    <w:rsid w:val="00AF4565"/>
    <w:rsid w:val="00B17242"/>
    <w:rsid w:val="00B257B0"/>
    <w:rsid w:val="00B33654"/>
    <w:rsid w:val="00B47A17"/>
    <w:rsid w:val="00B52E43"/>
    <w:rsid w:val="00B66B3C"/>
    <w:rsid w:val="00B712E4"/>
    <w:rsid w:val="00B7630A"/>
    <w:rsid w:val="00B85121"/>
    <w:rsid w:val="00B9262A"/>
    <w:rsid w:val="00BA2D7E"/>
    <w:rsid w:val="00BC67B5"/>
    <w:rsid w:val="00BD277B"/>
    <w:rsid w:val="00BD3602"/>
    <w:rsid w:val="00BD400A"/>
    <w:rsid w:val="00BE2FE6"/>
    <w:rsid w:val="00BF0DCC"/>
    <w:rsid w:val="00BF35ED"/>
    <w:rsid w:val="00C01848"/>
    <w:rsid w:val="00C07E6B"/>
    <w:rsid w:val="00C24621"/>
    <w:rsid w:val="00C27327"/>
    <w:rsid w:val="00C543D9"/>
    <w:rsid w:val="00C6549F"/>
    <w:rsid w:val="00C65C71"/>
    <w:rsid w:val="00C9682A"/>
    <w:rsid w:val="00CA3842"/>
    <w:rsid w:val="00CB3B30"/>
    <w:rsid w:val="00CC32ED"/>
    <w:rsid w:val="00CD08CB"/>
    <w:rsid w:val="00CD4912"/>
    <w:rsid w:val="00CF61A3"/>
    <w:rsid w:val="00CF680F"/>
    <w:rsid w:val="00D11B23"/>
    <w:rsid w:val="00D2769F"/>
    <w:rsid w:val="00D31D3B"/>
    <w:rsid w:val="00D331DD"/>
    <w:rsid w:val="00D466CF"/>
    <w:rsid w:val="00D726C0"/>
    <w:rsid w:val="00D839B3"/>
    <w:rsid w:val="00D97D90"/>
    <w:rsid w:val="00DA483A"/>
    <w:rsid w:val="00DB2C35"/>
    <w:rsid w:val="00E007ED"/>
    <w:rsid w:val="00E17D68"/>
    <w:rsid w:val="00E23E9E"/>
    <w:rsid w:val="00E33A26"/>
    <w:rsid w:val="00E609D1"/>
    <w:rsid w:val="00E756C7"/>
    <w:rsid w:val="00E76838"/>
    <w:rsid w:val="00E83686"/>
    <w:rsid w:val="00EB3B75"/>
    <w:rsid w:val="00EC0A64"/>
    <w:rsid w:val="00EC72B9"/>
    <w:rsid w:val="00EF1D87"/>
    <w:rsid w:val="00EF6A0E"/>
    <w:rsid w:val="00F15D36"/>
    <w:rsid w:val="00F3386B"/>
    <w:rsid w:val="00F34182"/>
    <w:rsid w:val="00F34C44"/>
    <w:rsid w:val="00F53332"/>
    <w:rsid w:val="00F53A3C"/>
    <w:rsid w:val="00F54C3A"/>
    <w:rsid w:val="00F566BA"/>
    <w:rsid w:val="00F57DAC"/>
    <w:rsid w:val="00F6455D"/>
    <w:rsid w:val="00F66909"/>
    <w:rsid w:val="00F808EA"/>
    <w:rsid w:val="00F81AD7"/>
    <w:rsid w:val="00F87569"/>
    <w:rsid w:val="00FC1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CB8B7"/>
  <w15:chartTrackingRefBased/>
  <w15:docId w15:val="{7B65F6AA-D1D3-42BC-B124-D4F01E939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C3A"/>
    <w:rPr>
      <w:rFonts w:ascii="Poppins" w:hAnsi="Poppins"/>
      <w:kern w:val="0"/>
      <w:sz w:val="20"/>
      <w14:ligatures w14:val="none"/>
    </w:rPr>
  </w:style>
  <w:style w:type="paragraph" w:styleId="Heading1">
    <w:name w:val="heading 1"/>
    <w:basedOn w:val="Normal"/>
    <w:next w:val="Normal"/>
    <w:link w:val="Heading1Char"/>
    <w:uiPriority w:val="9"/>
    <w:qFormat/>
    <w:rsid w:val="00540E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0E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0E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0E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0E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0E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0E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0E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0E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0E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0E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0E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0E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0E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0E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0E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0E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0E02"/>
    <w:rPr>
      <w:rFonts w:eastAsiaTheme="majorEastAsia" w:cstheme="majorBidi"/>
      <w:color w:val="272727" w:themeColor="text1" w:themeTint="D8"/>
    </w:rPr>
  </w:style>
  <w:style w:type="paragraph" w:styleId="Title">
    <w:name w:val="Title"/>
    <w:basedOn w:val="Normal"/>
    <w:next w:val="Normal"/>
    <w:link w:val="TitleChar"/>
    <w:uiPriority w:val="10"/>
    <w:qFormat/>
    <w:rsid w:val="00540E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0E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0E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0E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0E02"/>
    <w:pPr>
      <w:spacing w:before="160"/>
      <w:jc w:val="center"/>
    </w:pPr>
    <w:rPr>
      <w:i/>
      <w:iCs/>
      <w:color w:val="404040" w:themeColor="text1" w:themeTint="BF"/>
    </w:rPr>
  </w:style>
  <w:style w:type="character" w:customStyle="1" w:styleId="QuoteChar">
    <w:name w:val="Quote Char"/>
    <w:basedOn w:val="DefaultParagraphFont"/>
    <w:link w:val="Quote"/>
    <w:uiPriority w:val="29"/>
    <w:rsid w:val="00540E02"/>
    <w:rPr>
      <w:i/>
      <w:iCs/>
      <w:color w:val="404040" w:themeColor="text1" w:themeTint="BF"/>
    </w:rPr>
  </w:style>
  <w:style w:type="paragraph" w:styleId="ListParagraph">
    <w:name w:val="List Paragraph"/>
    <w:basedOn w:val="Normal"/>
    <w:link w:val="ListParagraphChar"/>
    <w:uiPriority w:val="34"/>
    <w:qFormat/>
    <w:rsid w:val="00540E02"/>
    <w:pPr>
      <w:ind w:left="720"/>
      <w:contextualSpacing/>
    </w:pPr>
  </w:style>
  <w:style w:type="character" w:styleId="IntenseEmphasis">
    <w:name w:val="Intense Emphasis"/>
    <w:basedOn w:val="DefaultParagraphFont"/>
    <w:uiPriority w:val="21"/>
    <w:qFormat/>
    <w:rsid w:val="00540E02"/>
    <w:rPr>
      <w:i/>
      <w:iCs/>
      <w:color w:val="0F4761" w:themeColor="accent1" w:themeShade="BF"/>
    </w:rPr>
  </w:style>
  <w:style w:type="paragraph" w:styleId="IntenseQuote">
    <w:name w:val="Intense Quote"/>
    <w:basedOn w:val="Normal"/>
    <w:next w:val="Normal"/>
    <w:link w:val="IntenseQuoteChar"/>
    <w:uiPriority w:val="30"/>
    <w:qFormat/>
    <w:rsid w:val="00540E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0E02"/>
    <w:rPr>
      <w:i/>
      <w:iCs/>
      <w:color w:val="0F4761" w:themeColor="accent1" w:themeShade="BF"/>
    </w:rPr>
  </w:style>
  <w:style w:type="character" w:styleId="IntenseReference">
    <w:name w:val="Intense Reference"/>
    <w:basedOn w:val="DefaultParagraphFont"/>
    <w:uiPriority w:val="32"/>
    <w:qFormat/>
    <w:rsid w:val="00540E02"/>
    <w:rPr>
      <w:b/>
      <w:bCs/>
      <w:smallCaps/>
      <w:color w:val="0F4761" w:themeColor="accent1" w:themeShade="BF"/>
      <w:spacing w:val="5"/>
    </w:rPr>
  </w:style>
  <w:style w:type="paragraph" w:styleId="Footer">
    <w:name w:val="footer"/>
    <w:basedOn w:val="Normal"/>
    <w:link w:val="FooterChar"/>
    <w:uiPriority w:val="99"/>
    <w:unhideWhenUsed/>
    <w:rsid w:val="00226A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6ACA"/>
    <w:rPr>
      <w:rFonts w:ascii="Poppins" w:hAnsi="Poppins"/>
      <w:kern w:val="0"/>
      <w:sz w:val="20"/>
      <w14:ligatures w14:val="none"/>
    </w:rPr>
  </w:style>
  <w:style w:type="character" w:styleId="Hyperlink">
    <w:name w:val="Hyperlink"/>
    <w:basedOn w:val="DefaultParagraphFont"/>
    <w:uiPriority w:val="99"/>
    <w:unhideWhenUsed/>
    <w:rsid w:val="00226ACA"/>
    <w:rPr>
      <w:color w:val="467886" w:themeColor="hyperlink"/>
      <w:u w:val="single"/>
    </w:rPr>
  </w:style>
  <w:style w:type="character" w:customStyle="1" w:styleId="ListParagraphChar">
    <w:name w:val="List Paragraph Char"/>
    <w:link w:val="ListParagraph"/>
    <w:uiPriority w:val="34"/>
    <w:locked/>
    <w:rsid w:val="00226ACA"/>
  </w:style>
  <w:style w:type="character" w:customStyle="1" w:styleId="normaltextrun">
    <w:name w:val="normaltextrun"/>
    <w:basedOn w:val="DefaultParagraphFont"/>
    <w:rsid w:val="00226ACA"/>
  </w:style>
  <w:style w:type="character" w:customStyle="1" w:styleId="eop">
    <w:name w:val="eop"/>
    <w:basedOn w:val="DefaultParagraphFont"/>
    <w:rsid w:val="00226ACA"/>
  </w:style>
  <w:style w:type="character" w:customStyle="1" w:styleId="contextualspellingandgrammarerror">
    <w:name w:val="contextualspellingandgrammarerror"/>
    <w:basedOn w:val="DefaultParagraphFont"/>
    <w:rsid w:val="00226ACA"/>
  </w:style>
  <w:style w:type="character" w:customStyle="1" w:styleId="mc-toc-title">
    <w:name w:val="mc-toc-title"/>
    <w:basedOn w:val="DefaultParagraphFont"/>
    <w:rsid w:val="00226ACA"/>
  </w:style>
  <w:style w:type="character" w:styleId="UnresolvedMention">
    <w:name w:val="Unresolved Mention"/>
    <w:basedOn w:val="DefaultParagraphFont"/>
    <w:uiPriority w:val="99"/>
    <w:semiHidden/>
    <w:unhideWhenUsed/>
    <w:rsid w:val="00286B7D"/>
    <w:rPr>
      <w:color w:val="605E5C"/>
      <w:shd w:val="clear" w:color="auto" w:fill="E1DFDD"/>
    </w:rPr>
  </w:style>
  <w:style w:type="character" w:styleId="FollowedHyperlink">
    <w:name w:val="FollowedHyperlink"/>
    <w:basedOn w:val="DefaultParagraphFont"/>
    <w:uiPriority w:val="99"/>
    <w:semiHidden/>
    <w:unhideWhenUsed/>
    <w:rsid w:val="00F87569"/>
    <w:rPr>
      <w:color w:val="96607D" w:themeColor="followedHyperlink"/>
      <w:u w:val="single"/>
    </w:rPr>
  </w:style>
  <w:style w:type="paragraph" w:customStyle="1" w:styleId="paragraph">
    <w:name w:val="paragraph"/>
    <w:basedOn w:val="Normal"/>
    <w:rsid w:val="00F566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330820"/>
  </w:style>
  <w:style w:type="paragraph" w:styleId="NormalWeb">
    <w:name w:val="Normal (Web)"/>
    <w:basedOn w:val="Normal"/>
    <w:uiPriority w:val="99"/>
    <w:unhideWhenUsed/>
    <w:rsid w:val="00EC72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ndhit">
    <w:name w:val="findhit"/>
    <w:basedOn w:val="DefaultParagraphFont"/>
    <w:rsid w:val="005A6E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85351">
      <w:bodyDiv w:val="1"/>
      <w:marLeft w:val="0"/>
      <w:marRight w:val="0"/>
      <w:marTop w:val="0"/>
      <w:marBottom w:val="0"/>
      <w:divBdr>
        <w:top w:val="none" w:sz="0" w:space="0" w:color="auto"/>
        <w:left w:val="none" w:sz="0" w:space="0" w:color="auto"/>
        <w:bottom w:val="none" w:sz="0" w:space="0" w:color="auto"/>
        <w:right w:val="none" w:sz="0" w:space="0" w:color="auto"/>
      </w:divBdr>
    </w:div>
    <w:div w:id="32266787">
      <w:bodyDiv w:val="1"/>
      <w:marLeft w:val="0"/>
      <w:marRight w:val="0"/>
      <w:marTop w:val="0"/>
      <w:marBottom w:val="0"/>
      <w:divBdr>
        <w:top w:val="none" w:sz="0" w:space="0" w:color="auto"/>
        <w:left w:val="none" w:sz="0" w:space="0" w:color="auto"/>
        <w:bottom w:val="none" w:sz="0" w:space="0" w:color="auto"/>
        <w:right w:val="none" w:sz="0" w:space="0" w:color="auto"/>
      </w:divBdr>
    </w:div>
    <w:div w:id="122164479">
      <w:bodyDiv w:val="1"/>
      <w:marLeft w:val="0"/>
      <w:marRight w:val="0"/>
      <w:marTop w:val="0"/>
      <w:marBottom w:val="0"/>
      <w:divBdr>
        <w:top w:val="none" w:sz="0" w:space="0" w:color="auto"/>
        <w:left w:val="none" w:sz="0" w:space="0" w:color="auto"/>
        <w:bottom w:val="none" w:sz="0" w:space="0" w:color="auto"/>
        <w:right w:val="none" w:sz="0" w:space="0" w:color="auto"/>
      </w:divBdr>
      <w:divsChild>
        <w:div w:id="1986929773">
          <w:marLeft w:val="0"/>
          <w:marRight w:val="0"/>
          <w:marTop w:val="0"/>
          <w:marBottom w:val="0"/>
          <w:divBdr>
            <w:top w:val="none" w:sz="0" w:space="0" w:color="auto"/>
            <w:left w:val="none" w:sz="0" w:space="0" w:color="auto"/>
            <w:bottom w:val="none" w:sz="0" w:space="0" w:color="auto"/>
            <w:right w:val="none" w:sz="0" w:space="0" w:color="auto"/>
          </w:divBdr>
        </w:div>
        <w:div w:id="2905815">
          <w:marLeft w:val="0"/>
          <w:marRight w:val="0"/>
          <w:marTop w:val="0"/>
          <w:marBottom w:val="0"/>
          <w:divBdr>
            <w:top w:val="none" w:sz="0" w:space="0" w:color="auto"/>
            <w:left w:val="none" w:sz="0" w:space="0" w:color="auto"/>
            <w:bottom w:val="none" w:sz="0" w:space="0" w:color="auto"/>
            <w:right w:val="none" w:sz="0" w:space="0" w:color="auto"/>
          </w:divBdr>
        </w:div>
      </w:divsChild>
    </w:div>
    <w:div w:id="372852340">
      <w:bodyDiv w:val="1"/>
      <w:marLeft w:val="0"/>
      <w:marRight w:val="0"/>
      <w:marTop w:val="0"/>
      <w:marBottom w:val="0"/>
      <w:divBdr>
        <w:top w:val="none" w:sz="0" w:space="0" w:color="auto"/>
        <w:left w:val="none" w:sz="0" w:space="0" w:color="auto"/>
        <w:bottom w:val="none" w:sz="0" w:space="0" w:color="auto"/>
        <w:right w:val="none" w:sz="0" w:space="0" w:color="auto"/>
      </w:divBdr>
    </w:div>
    <w:div w:id="400324724">
      <w:bodyDiv w:val="1"/>
      <w:marLeft w:val="0"/>
      <w:marRight w:val="0"/>
      <w:marTop w:val="0"/>
      <w:marBottom w:val="0"/>
      <w:divBdr>
        <w:top w:val="none" w:sz="0" w:space="0" w:color="auto"/>
        <w:left w:val="none" w:sz="0" w:space="0" w:color="auto"/>
        <w:bottom w:val="none" w:sz="0" w:space="0" w:color="auto"/>
        <w:right w:val="none" w:sz="0" w:space="0" w:color="auto"/>
      </w:divBdr>
      <w:divsChild>
        <w:div w:id="104809120">
          <w:marLeft w:val="0"/>
          <w:marRight w:val="0"/>
          <w:marTop w:val="0"/>
          <w:marBottom w:val="0"/>
          <w:divBdr>
            <w:top w:val="none" w:sz="0" w:space="0" w:color="auto"/>
            <w:left w:val="none" w:sz="0" w:space="0" w:color="auto"/>
            <w:bottom w:val="none" w:sz="0" w:space="0" w:color="auto"/>
            <w:right w:val="none" w:sz="0" w:space="0" w:color="auto"/>
          </w:divBdr>
        </w:div>
        <w:div w:id="244657289">
          <w:marLeft w:val="0"/>
          <w:marRight w:val="0"/>
          <w:marTop w:val="0"/>
          <w:marBottom w:val="0"/>
          <w:divBdr>
            <w:top w:val="none" w:sz="0" w:space="0" w:color="auto"/>
            <w:left w:val="none" w:sz="0" w:space="0" w:color="auto"/>
            <w:bottom w:val="none" w:sz="0" w:space="0" w:color="auto"/>
            <w:right w:val="none" w:sz="0" w:space="0" w:color="auto"/>
          </w:divBdr>
        </w:div>
      </w:divsChild>
    </w:div>
    <w:div w:id="490215621">
      <w:bodyDiv w:val="1"/>
      <w:marLeft w:val="0"/>
      <w:marRight w:val="0"/>
      <w:marTop w:val="0"/>
      <w:marBottom w:val="0"/>
      <w:divBdr>
        <w:top w:val="none" w:sz="0" w:space="0" w:color="auto"/>
        <w:left w:val="none" w:sz="0" w:space="0" w:color="auto"/>
        <w:bottom w:val="none" w:sz="0" w:space="0" w:color="auto"/>
        <w:right w:val="none" w:sz="0" w:space="0" w:color="auto"/>
      </w:divBdr>
      <w:divsChild>
        <w:div w:id="2113041745">
          <w:marLeft w:val="0"/>
          <w:marRight w:val="0"/>
          <w:marTop w:val="0"/>
          <w:marBottom w:val="0"/>
          <w:divBdr>
            <w:top w:val="none" w:sz="0" w:space="0" w:color="auto"/>
            <w:left w:val="none" w:sz="0" w:space="0" w:color="auto"/>
            <w:bottom w:val="none" w:sz="0" w:space="0" w:color="auto"/>
            <w:right w:val="none" w:sz="0" w:space="0" w:color="auto"/>
          </w:divBdr>
        </w:div>
        <w:div w:id="1182553942">
          <w:marLeft w:val="0"/>
          <w:marRight w:val="0"/>
          <w:marTop w:val="0"/>
          <w:marBottom w:val="0"/>
          <w:divBdr>
            <w:top w:val="none" w:sz="0" w:space="0" w:color="auto"/>
            <w:left w:val="none" w:sz="0" w:space="0" w:color="auto"/>
            <w:bottom w:val="none" w:sz="0" w:space="0" w:color="auto"/>
            <w:right w:val="none" w:sz="0" w:space="0" w:color="auto"/>
          </w:divBdr>
        </w:div>
      </w:divsChild>
    </w:div>
    <w:div w:id="526067693">
      <w:bodyDiv w:val="1"/>
      <w:marLeft w:val="0"/>
      <w:marRight w:val="0"/>
      <w:marTop w:val="0"/>
      <w:marBottom w:val="0"/>
      <w:divBdr>
        <w:top w:val="none" w:sz="0" w:space="0" w:color="auto"/>
        <w:left w:val="none" w:sz="0" w:space="0" w:color="auto"/>
        <w:bottom w:val="none" w:sz="0" w:space="0" w:color="auto"/>
        <w:right w:val="none" w:sz="0" w:space="0" w:color="auto"/>
      </w:divBdr>
      <w:divsChild>
        <w:div w:id="1791632646">
          <w:marLeft w:val="0"/>
          <w:marRight w:val="0"/>
          <w:marTop w:val="0"/>
          <w:marBottom w:val="0"/>
          <w:divBdr>
            <w:top w:val="none" w:sz="0" w:space="0" w:color="auto"/>
            <w:left w:val="none" w:sz="0" w:space="0" w:color="auto"/>
            <w:bottom w:val="none" w:sz="0" w:space="0" w:color="auto"/>
            <w:right w:val="none" w:sz="0" w:space="0" w:color="auto"/>
          </w:divBdr>
        </w:div>
        <w:div w:id="1773160811">
          <w:marLeft w:val="0"/>
          <w:marRight w:val="0"/>
          <w:marTop w:val="0"/>
          <w:marBottom w:val="0"/>
          <w:divBdr>
            <w:top w:val="none" w:sz="0" w:space="0" w:color="auto"/>
            <w:left w:val="none" w:sz="0" w:space="0" w:color="auto"/>
            <w:bottom w:val="none" w:sz="0" w:space="0" w:color="auto"/>
            <w:right w:val="none" w:sz="0" w:space="0" w:color="auto"/>
          </w:divBdr>
        </w:div>
      </w:divsChild>
    </w:div>
    <w:div w:id="572351480">
      <w:bodyDiv w:val="1"/>
      <w:marLeft w:val="0"/>
      <w:marRight w:val="0"/>
      <w:marTop w:val="0"/>
      <w:marBottom w:val="0"/>
      <w:divBdr>
        <w:top w:val="none" w:sz="0" w:space="0" w:color="auto"/>
        <w:left w:val="none" w:sz="0" w:space="0" w:color="auto"/>
        <w:bottom w:val="none" w:sz="0" w:space="0" w:color="auto"/>
        <w:right w:val="none" w:sz="0" w:space="0" w:color="auto"/>
      </w:divBdr>
    </w:div>
    <w:div w:id="576982201">
      <w:bodyDiv w:val="1"/>
      <w:marLeft w:val="0"/>
      <w:marRight w:val="0"/>
      <w:marTop w:val="0"/>
      <w:marBottom w:val="0"/>
      <w:divBdr>
        <w:top w:val="none" w:sz="0" w:space="0" w:color="auto"/>
        <w:left w:val="none" w:sz="0" w:space="0" w:color="auto"/>
        <w:bottom w:val="none" w:sz="0" w:space="0" w:color="auto"/>
        <w:right w:val="none" w:sz="0" w:space="0" w:color="auto"/>
      </w:divBdr>
    </w:div>
    <w:div w:id="605235463">
      <w:bodyDiv w:val="1"/>
      <w:marLeft w:val="0"/>
      <w:marRight w:val="0"/>
      <w:marTop w:val="0"/>
      <w:marBottom w:val="0"/>
      <w:divBdr>
        <w:top w:val="none" w:sz="0" w:space="0" w:color="auto"/>
        <w:left w:val="none" w:sz="0" w:space="0" w:color="auto"/>
        <w:bottom w:val="none" w:sz="0" w:space="0" w:color="auto"/>
        <w:right w:val="none" w:sz="0" w:space="0" w:color="auto"/>
      </w:divBdr>
      <w:divsChild>
        <w:div w:id="93598739">
          <w:marLeft w:val="0"/>
          <w:marRight w:val="0"/>
          <w:marTop w:val="0"/>
          <w:marBottom w:val="0"/>
          <w:divBdr>
            <w:top w:val="none" w:sz="0" w:space="0" w:color="auto"/>
            <w:left w:val="none" w:sz="0" w:space="0" w:color="auto"/>
            <w:bottom w:val="none" w:sz="0" w:space="0" w:color="auto"/>
            <w:right w:val="none" w:sz="0" w:space="0" w:color="auto"/>
          </w:divBdr>
        </w:div>
        <w:div w:id="1152647316">
          <w:marLeft w:val="0"/>
          <w:marRight w:val="0"/>
          <w:marTop w:val="0"/>
          <w:marBottom w:val="0"/>
          <w:divBdr>
            <w:top w:val="none" w:sz="0" w:space="0" w:color="auto"/>
            <w:left w:val="none" w:sz="0" w:space="0" w:color="auto"/>
            <w:bottom w:val="none" w:sz="0" w:space="0" w:color="auto"/>
            <w:right w:val="none" w:sz="0" w:space="0" w:color="auto"/>
          </w:divBdr>
        </w:div>
      </w:divsChild>
    </w:div>
    <w:div w:id="643659110">
      <w:bodyDiv w:val="1"/>
      <w:marLeft w:val="0"/>
      <w:marRight w:val="0"/>
      <w:marTop w:val="0"/>
      <w:marBottom w:val="0"/>
      <w:divBdr>
        <w:top w:val="none" w:sz="0" w:space="0" w:color="auto"/>
        <w:left w:val="none" w:sz="0" w:space="0" w:color="auto"/>
        <w:bottom w:val="none" w:sz="0" w:space="0" w:color="auto"/>
        <w:right w:val="none" w:sz="0" w:space="0" w:color="auto"/>
      </w:divBdr>
      <w:divsChild>
        <w:div w:id="915240430">
          <w:marLeft w:val="0"/>
          <w:marRight w:val="0"/>
          <w:marTop w:val="0"/>
          <w:marBottom w:val="0"/>
          <w:divBdr>
            <w:top w:val="none" w:sz="0" w:space="0" w:color="auto"/>
            <w:left w:val="none" w:sz="0" w:space="0" w:color="auto"/>
            <w:bottom w:val="none" w:sz="0" w:space="0" w:color="auto"/>
            <w:right w:val="none" w:sz="0" w:space="0" w:color="auto"/>
          </w:divBdr>
        </w:div>
        <w:div w:id="1757165239">
          <w:marLeft w:val="0"/>
          <w:marRight w:val="0"/>
          <w:marTop w:val="0"/>
          <w:marBottom w:val="0"/>
          <w:divBdr>
            <w:top w:val="none" w:sz="0" w:space="0" w:color="auto"/>
            <w:left w:val="none" w:sz="0" w:space="0" w:color="auto"/>
            <w:bottom w:val="none" w:sz="0" w:space="0" w:color="auto"/>
            <w:right w:val="none" w:sz="0" w:space="0" w:color="auto"/>
          </w:divBdr>
        </w:div>
      </w:divsChild>
    </w:div>
    <w:div w:id="669866519">
      <w:bodyDiv w:val="1"/>
      <w:marLeft w:val="0"/>
      <w:marRight w:val="0"/>
      <w:marTop w:val="0"/>
      <w:marBottom w:val="0"/>
      <w:divBdr>
        <w:top w:val="none" w:sz="0" w:space="0" w:color="auto"/>
        <w:left w:val="none" w:sz="0" w:space="0" w:color="auto"/>
        <w:bottom w:val="none" w:sz="0" w:space="0" w:color="auto"/>
        <w:right w:val="none" w:sz="0" w:space="0" w:color="auto"/>
      </w:divBdr>
      <w:divsChild>
        <w:div w:id="1233348016">
          <w:marLeft w:val="0"/>
          <w:marRight w:val="0"/>
          <w:marTop w:val="0"/>
          <w:marBottom w:val="0"/>
          <w:divBdr>
            <w:top w:val="none" w:sz="0" w:space="0" w:color="auto"/>
            <w:left w:val="none" w:sz="0" w:space="0" w:color="auto"/>
            <w:bottom w:val="none" w:sz="0" w:space="0" w:color="auto"/>
            <w:right w:val="none" w:sz="0" w:space="0" w:color="auto"/>
          </w:divBdr>
        </w:div>
        <w:div w:id="838276692">
          <w:marLeft w:val="0"/>
          <w:marRight w:val="0"/>
          <w:marTop w:val="0"/>
          <w:marBottom w:val="0"/>
          <w:divBdr>
            <w:top w:val="none" w:sz="0" w:space="0" w:color="auto"/>
            <w:left w:val="none" w:sz="0" w:space="0" w:color="auto"/>
            <w:bottom w:val="none" w:sz="0" w:space="0" w:color="auto"/>
            <w:right w:val="none" w:sz="0" w:space="0" w:color="auto"/>
          </w:divBdr>
        </w:div>
      </w:divsChild>
    </w:div>
    <w:div w:id="776170650">
      <w:bodyDiv w:val="1"/>
      <w:marLeft w:val="0"/>
      <w:marRight w:val="0"/>
      <w:marTop w:val="0"/>
      <w:marBottom w:val="0"/>
      <w:divBdr>
        <w:top w:val="none" w:sz="0" w:space="0" w:color="auto"/>
        <w:left w:val="none" w:sz="0" w:space="0" w:color="auto"/>
        <w:bottom w:val="none" w:sz="0" w:space="0" w:color="auto"/>
        <w:right w:val="none" w:sz="0" w:space="0" w:color="auto"/>
      </w:divBdr>
      <w:divsChild>
        <w:div w:id="1859272146">
          <w:marLeft w:val="0"/>
          <w:marRight w:val="0"/>
          <w:marTop w:val="0"/>
          <w:marBottom w:val="0"/>
          <w:divBdr>
            <w:top w:val="none" w:sz="0" w:space="0" w:color="auto"/>
            <w:left w:val="none" w:sz="0" w:space="0" w:color="auto"/>
            <w:bottom w:val="none" w:sz="0" w:space="0" w:color="auto"/>
            <w:right w:val="none" w:sz="0" w:space="0" w:color="auto"/>
          </w:divBdr>
        </w:div>
        <w:div w:id="1294289426">
          <w:marLeft w:val="0"/>
          <w:marRight w:val="0"/>
          <w:marTop w:val="0"/>
          <w:marBottom w:val="0"/>
          <w:divBdr>
            <w:top w:val="none" w:sz="0" w:space="0" w:color="auto"/>
            <w:left w:val="none" w:sz="0" w:space="0" w:color="auto"/>
            <w:bottom w:val="none" w:sz="0" w:space="0" w:color="auto"/>
            <w:right w:val="none" w:sz="0" w:space="0" w:color="auto"/>
          </w:divBdr>
        </w:div>
      </w:divsChild>
    </w:div>
    <w:div w:id="798493094">
      <w:bodyDiv w:val="1"/>
      <w:marLeft w:val="0"/>
      <w:marRight w:val="0"/>
      <w:marTop w:val="0"/>
      <w:marBottom w:val="0"/>
      <w:divBdr>
        <w:top w:val="none" w:sz="0" w:space="0" w:color="auto"/>
        <w:left w:val="none" w:sz="0" w:space="0" w:color="auto"/>
        <w:bottom w:val="none" w:sz="0" w:space="0" w:color="auto"/>
        <w:right w:val="none" w:sz="0" w:space="0" w:color="auto"/>
      </w:divBdr>
      <w:divsChild>
        <w:div w:id="92434923">
          <w:marLeft w:val="0"/>
          <w:marRight w:val="0"/>
          <w:marTop w:val="0"/>
          <w:marBottom w:val="0"/>
          <w:divBdr>
            <w:top w:val="none" w:sz="0" w:space="0" w:color="auto"/>
            <w:left w:val="none" w:sz="0" w:space="0" w:color="auto"/>
            <w:bottom w:val="none" w:sz="0" w:space="0" w:color="auto"/>
            <w:right w:val="none" w:sz="0" w:space="0" w:color="auto"/>
          </w:divBdr>
        </w:div>
        <w:div w:id="2086339002">
          <w:marLeft w:val="0"/>
          <w:marRight w:val="0"/>
          <w:marTop w:val="0"/>
          <w:marBottom w:val="0"/>
          <w:divBdr>
            <w:top w:val="none" w:sz="0" w:space="0" w:color="auto"/>
            <w:left w:val="none" w:sz="0" w:space="0" w:color="auto"/>
            <w:bottom w:val="none" w:sz="0" w:space="0" w:color="auto"/>
            <w:right w:val="none" w:sz="0" w:space="0" w:color="auto"/>
          </w:divBdr>
        </w:div>
        <w:div w:id="851145554">
          <w:marLeft w:val="0"/>
          <w:marRight w:val="0"/>
          <w:marTop w:val="0"/>
          <w:marBottom w:val="0"/>
          <w:divBdr>
            <w:top w:val="none" w:sz="0" w:space="0" w:color="auto"/>
            <w:left w:val="none" w:sz="0" w:space="0" w:color="auto"/>
            <w:bottom w:val="none" w:sz="0" w:space="0" w:color="auto"/>
            <w:right w:val="none" w:sz="0" w:space="0" w:color="auto"/>
          </w:divBdr>
        </w:div>
      </w:divsChild>
    </w:div>
    <w:div w:id="801774849">
      <w:bodyDiv w:val="1"/>
      <w:marLeft w:val="0"/>
      <w:marRight w:val="0"/>
      <w:marTop w:val="0"/>
      <w:marBottom w:val="0"/>
      <w:divBdr>
        <w:top w:val="none" w:sz="0" w:space="0" w:color="auto"/>
        <w:left w:val="none" w:sz="0" w:space="0" w:color="auto"/>
        <w:bottom w:val="none" w:sz="0" w:space="0" w:color="auto"/>
        <w:right w:val="none" w:sz="0" w:space="0" w:color="auto"/>
      </w:divBdr>
      <w:divsChild>
        <w:div w:id="56326631">
          <w:marLeft w:val="0"/>
          <w:marRight w:val="0"/>
          <w:marTop w:val="0"/>
          <w:marBottom w:val="0"/>
          <w:divBdr>
            <w:top w:val="none" w:sz="0" w:space="0" w:color="auto"/>
            <w:left w:val="none" w:sz="0" w:space="0" w:color="auto"/>
            <w:bottom w:val="none" w:sz="0" w:space="0" w:color="auto"/>
            <w:right w:val="none" w:sz="0" w:space="0" w:color="auto"/>
          </w:divBdr>
        </w:div>
        <w:div w:id="852571021">
          <w:marLeft w:val="0"/>
          <w:marRight w:val="0"/>
          <w:marTop w:val="0"/>
          <w:marBottom w:val="0"/>
          <w:divBdr>
            <w:top w:val="none" w:sz="0" w:space="0" w:color="auto"/>
            <w:left w:val="none" w:sz="0" w:space="0" w:color="auto"/>
            <w:bottom w:val="none" w:sz="0" w:space="0" w:color="auto"/>
            <w:right w:val="none" w:sz="0" w:space="0" w:color="auto"/>
          </w:divBdr>
        </w:div>
      </w:divsChild>
    </w:div>
    <w:div w:id="1060593075">
      <w:bodyDiv w:val="1"/>
      <w:marLeft w:val="0"/>
      <w:marRight w:val="0"/>
      <w:marTop w:val="0"/>
      <w:marBottom w:val="0"/>
      <w:divBdr>
        <w:top w:val="none" w:sz="0" w:space="0" w:color="auto"/>
        <w:left w:val="none" w:sz="0" w:space="0" w:color="auto"/>
        <w:bottom w:val="none" w:sz="0" w:space="0" w:color="auto"/>
        <w:right w:val="none" w:sz="0" w:space="0" w:color="auto"/>
      </w:divBdr>
      <w:divsChild>
        <w:div w:id="969480909">
          <w:marLeft w:val="0"/>
          <w:marRight w:val="0"/>
          <w:marTop w:val="0"/>
          <w:marBottom w:val="0"/>
          <w:divBdr>
            <w:top w:val="none" w:sz="0" w:space="0" w:color="auto"/>
            <w:left w:val="none" w:sz="0" w:space="0" w:color="auto"/>
            <w:bottom w:val="none" w:sz="0" w:space="0" w:color="auto"/>
            <w:right w:val="none" w:sz="0" w:space="0" w:color="auto"/>
          </w:divBdr>
        </w:div>
        <w:div w:id="891497553">
          <w:marLeft w:val="0"/>
          <w:marRight w:val="0"/>
          <w:marTop w:val="0"/>
          <w:marBottom w:val="0"/>
          <w:divBdr>
            <w:top w:val="none" w:sz="0" w:space="0" w:color="auto"/>
            <w:left w:val="none" w:sz="0" w:space="0" w:color="auto"/>
            <w:bottom w:val="none" w:sz="0" w:space="0" w:color="auto"/>
            <w:right w:val="none" w:sz="0" w:space="0" w:color="auto"/>
          </w:divBdr>
        </w:div>
      </w:divsChild>
    </w:div>
    <w:div w:id="1107383629">
      <w:bodyDiv w:val="1"/>
      <w:marLeft w:val="0"/>
      <w:marRight w:val="0"/>
      <w:marTop w:val="0"/>
      <w:marBottom w:val="0"/>
      <w:divBdr>
        <w:top w:val="none" w:sz="0" w:space="0" w:color="auto"/>
        <w:left w:val="none" w:sz="0" w:space="0" w:color="auto"/>
        <w:bottom w:val="none" w:sz="0" w:space="0" w:color="auto"/>
        <w:right w:val="none" w:sz="0" w:space="0" w:color="auto"/>
      </w:divBdr>
      <w:divsChild>
        <w:div w:id="1324046341">
          <w:marLeft w:val="0"/>
          <w:marRight w:val="0"/>
          <w:marTop w:val="0"/>
          <w:marBottom w:val="0"/>
          <w:divBdr>
            <w:top w:val="none" w:sz="0" w:space="0" w:color="auto"/>
            <w:left w:val="none" w:sz="0" w:space="0" w:color="auto"/>
            <w:bottom w:val="none" w:sz="0" w:space="0" w:color="auto"/>
            <w:right w:val="none" w:sz="0" w:space="0" w:color="auto"/>
          </w:divBdr>
        </w:div>
        <w:div w:id="1568688011">
          <w:marLeft w:val="0"/>
          <w:marRight w:val="0"/>
          <w:marTop w:val="0"/>
          <w:marBottom w:val="0"/>
          <w:divBdr>
            <w:top w:val="none" w:sz="0" w:space="0" w:color="auto"/>
            <w:left w:val="none" w:sz="0" w:space="0" w:color="auto"/>
            <w:bottom w:val="none" w:sz="0" w:space="0" w:color="auto"/>
            <w:right w:val="none" w:sz="0" w:space="0" w:color="auto"/>
          </w:divBdr>
        </w:div>
      </w:divsChild>
    </w:div>
    <w:div w:id="1127117878">
      <w:bodyDiv w:val="1"/>
      <w:marLeft w:val="0"/>
      <w:marRight w:val="0"/>
      <w:marTop w:val="0"/>
      <w:marBottom w:val="0"/>
      <w:divBdr>
        <w:top w:val="none" w:sz="0" w:space="0" w:color="auto"/>
        <w:left w:val="none" w:sz="0" w:space="0" w:color="auto"/>
        <w:bottom w:val="none" w:sz="0" w:space="0" w:color="auto"/>
        <w:right w:val="none" w:sz="0" w:space="0" w:color="auto"/>
      </w:divBdr>
      <w:divsChild>
        <w:div w:id="1021584809">
          <w:marLeft w:val="0"/>
          <w:marRight w:val="0"/>
          <w:marTop w:val="0"/>
          <w:marBottom w:val="0"/>
          <w:divBdr>
            <w:top w:val="none" w:sz="0" w:space="0" w:color="auto"/>
            <w:left w:val="none" w:sz="0" w:space="0" w:color="auto"/>
            <w:bottom w:val="none" w:sz="0" w:space="0" w:color="auto"/>
            <w:right w:val="none" w:sz="0" w:space="0" w:color="auto"/>
          </w:divBdr>
        </w:div>
        <w:div w:id="1783302076">
          <w:marLeft w:val="0"/>
          <w:marRight w:val="0"/>
          <w:marTop w:val="0"/>
          <w:marBottom w:val="0"/>
          <w:divBdr>
            <w:top w:val="none" w:sz="0" w:space="0" w:color="auto"/>
            <w:left w:val="none" w:sz="0" w:space="0" w:color="auto"/>
            <w:bottom w:val="none" w:sz="0" w:space="0" w:color="auto"/>
            <w:right w:val="none" w:sz="0" w:space="0" w:color="auto"/>
          </w:divBdr>
        </w:div>
      </w:divsChild>
    </w:div>
    <w:div w:id="1129009460">
      <w:bodyDiv w:val="1"/>
      <w:marLeft w:val="0"/>
      <w:marRight w:val="0"/>
      <w:marTop w:val="0"/>
      <w:marBottom w:val="0"/>
      <w:divBdr>
        <w:top w:val="none" w:sz="0" w:space="0" w:color="auto"/>
        <w:left w:val="none" w:sz="0" w:space="0" w:color="auto"/>
        <w:bottom w:val="none" w:sz="0" w:space="0" w:color="auto"/>
        <w:right w:val="none" w:sz="0" w:space="0" w:color="auto"/>
      </w:divBdr>
      <w:divsChild>
        <w:div w:id="2113159062">
          <w:marLeft w:val="0"/>
          <w:marRight w:val="0"/>
          <w:marTop w:val="0"/>
          <w:marBottom w:val="0"/>
          <w:divBdr>
            <w:top w:val="none" w:sz="0" w:space="0" w:color="auto"/>
            <w:left w:val="none" w:sz="0" w:space="0" w:color="auto"/>
            <w:bottom w:val="none" w:sz="0" w:space="0" w:color="auto"/>
            <w:right w:val="none" w:sz="0" w:space="0" w:color="auto"/>
          </w:divBdr>
        </w:div>
        <w:div w:id="9576801">
          <w:marLeft w:val="0"/>
          <w:marRight w:val="0"/>
          <w:marTop w:val="0"/>
          <w:marBottom w:val="0"/>
          <w:divBdr>
            <w:top w:val="none" w:sz="0" w:space="0" w:color="auto"/>
            <w:left w:val="none" w:sz="0" w:space="0" w:color="auto"/>
            <w:bottom w:val="none" w:sz="0" w:space="0" w:color="auto"/>
            <w:right w:val="none" w:sz="0" w:space="0" w:color="auto"/>
          </w:divBdr>
        </w:div>
        <w:div w:id="568003236">
          <w:marLeft w:val="0"/>
          <w:marRight w:val="0"/>
          <w:marTop w:val="0"/>
          <w:marBottom w:val="0"/>
          <w:divBdr>
            <w:top w:val="none" w:sz="0" w:space="0" w:color="auto"/>
            <w:left w:val="none" w:sz="0" w:space="0" w:color="auto"/>
            <w:bottom w:val="none" w:sz="0" w:space="0" w:color="auto"/>
            <w:right w:val="none" w:sz="0" w:space="0" w:color="auto"/>
          </w:divBdr>
        </w:div>
      </w:divsChild>
    </w:div>
    <w:div w:id="1169440902">
      <w:bodyDiv w:val="1"/>
      <w:marLeft w:val="0"/>
      <w:marRight w:val="0"/>
      <w:marTop w:val="0"/>
      <w:marBottom w:val="0"/>
      <w:divBdr>
        <w:top w:val="none" w:sz="0" w:space="0" w:color="auto"/>
        <w:left w:val="none" w:sz="0" w:space="0" w:color="auto"/>
        <w:bottom w:val="none" w:sz="0" w:space="0" w:color="auto"/>
        <w:right w:val="none" w:sz="0" w:space="0" w:color="auto"/>
      </w:divBdr>
      <w:divsChild>
        <w:div w:id="1905682719">
          <w:marLeft w:val="0"/>
          <w:marRight w:val="0"/>
          <w:marTop w:val="0"/>
          <w:marBottom w:val="0"/>
          <w:divBdr>
            <w:top w:val="none" w:sz="0" w:space="0" w:color="auto"/>
            <w:left w:val="none" w:sz="0" w:space="0" w:color="auto"/>
            <w:bottom w:val="none" w:sz="0" w:space="0" w:color="auto"/>
            <w:right w:val="none" w:sz="0" w:space="0" w:color="auto"/>
          </w:divBdr>
        </w:div>
        <w:div w:id="1847860912">
          <w:marLeft w:val="0"/>
          <w:marRight w:val="0"/>
          <w:marTop w:val="0"/>
          <w:marBottom w:val="0"/>
          <w:divBdr>
            <w:top w:val="none" w:sz="0" w:space="0" w:color="auto"/>
            <w:left w:val="none" w:sz="0" w:space="0" w:color="auto"/>
            <w:bottom w:val="none" w:sz="0" w:space="0" w:color="auto"/>
            <w:right w:val="none" w:sz="0" w:space="0" w:color="auto"/>
          </w:divBdr>
        </w:div>
      </w:divsChild>
    </w:div>
    <w:div w:id="1184397626">
      <w:bodyDiv w:val="1"/>
      <w:marLeft w:val="0"/>
      <w:marRight w:val="0"/>
      <w:marTop w:val="0"/>
      <w:marBottom w:val="0"/>
      <w:divBdr>
        <w:top w:val="none" w:sz="0" w:space="0" w:color="auto"/>
        <w:left w:val="none" w:sz="0" w:space="0" w:color="auto"/>
        <w:bottom w:val="none" w:sz="0" w:space="0" w:color="auto"/>
        <w:right w:val="none" w:sz="0" w:space="0" w:color="auto"/>
      </w:divBdr>
    </w:div>
    <w:div w:id="1274091330">
      <w:bodyDiv w:val="1"/>
      <w:marLeft w:val="0"/>
      <w:marRight w:val="0"/>
      <w:marTop w:val="0"/>
      <w:marBottom w:val="0"/>
      <w:divBdr>
        <w:top w:val="none" w:sz="0" w:space="0" w:color="auto"/>
        <w:left w:val="none" w:sz="0" w:space="0" w:color="auto"/>
        <w:bottom w:val="none" w:sz="0" w:space="0" w:color="auto"/>
        <w:right w:val="none" w:sz="0" w:space="0" w:color="auto"/>
      </w:divBdr>
    </w:div>
    <w:div w:id="1558665098">
      <w:bodyDiv w:val="1"/>
      <w:marLeft w:val="0"/>
      <w:marRight w:val="0"/>
      <w:marTop w:val="0"/>
      <w:marBottom w:val="0"/>
      <w:divBdr>
        <w:top w:val="none" w:sz="0" w:space="0" w:color="auto"/>
        <w:left w:val="none" w:sz="0" w:space="0" w:color="auto"/>
        <w:bottom w:val="none" w:sz="0" w:space="0" w:color="auto"/>
        <w:right w:val="none" w:sz="0" w:space="0" w:color="auto"/>
      </w:divBdr>
      <w:divsChild>
        <w:div w:id="114838453">
          <w:marLeft w:val="0"/>
          <w:marRight w:val="0"/>
          <w:marTop w:val="0"/>
          <w:marBottom w:val="0"/>
          <w:divBdr>
            <w:top w:val="none" w:sz="0" w:space="0" w:color="auto"/>
            <w:left w:val="none" w:sz="0" w:space="0" w:color="auto"/>
            <w:bottom w:val="none" w:sz="0" w:space="0" w:color="auto"/>
            <w:right w:val="none" w:sz="0" w:space="0" w:color="auto"/>
          </w:divBdr>
        </w:div>
        <w:div w:id="1782217698">
          <w:marLeft w:val="0"/>
          <w:marRight w:val="0"/>
          <w:marTop w:val="0"/>
          <w:marBottom w:val="0"/>
          <w:divBdr>
            <w:top w:val="none" w:sz="0" w:space="0" w:color="auto"/>
            <w:left w:val="none" w:sz="0" w:space="0" w:color="auto"/>
            <w:bottom w:val="none" w:sz="0" w:space="0" w:color="auto"/>
            <w:right w:val="none" w:sz="0" w:space="0" w:color="auto"/>
          </w:divBdr>
        </w:div>
        <w:div w:id="1366521763">
          <w:marLeft w:val="0"/>
          <w:marRight w:val="0"/>
          <w:marTop w:val="0"/>
          <w:marBottom w:val="0"/>
          <w:divBdr>
            <w:top w:val="none" w:sz="0" w:space="0" w:color="auto"/>
            <w:left w:val="none" w:sz="0" w:space="0" w:color="auto"/>
            <w:bottom w:val="none" w:sz="0" w:space="0" w:color="auto"/>
            <w:right w:val="none" w:sz="0" w:space="0" w:color="auto"/>
          </w:divBdr>
        </w:div>
        <w:div w:id="1289044318">
          <w:marLeft w:val="0"/>
          <w:marRight w:val="0"/>
          <w:marTop w:val="0"/>
          <w:marBottom w:val="0"/>
          <w:divBdr>
            <w:top w:val="none" w:sz="0" w:space="0" w:color="auto"/>
            <w:left w:val="none" w:sz="0" w:space="0" w:color="auto"/>
            <w:bottom w:val="none" w:sz="0" w:space="0" w:color="auto"/>
            <w:right w:val="none" w:sz="0" w:space="0" w:color="auto"/>
          </w:divBdr>
        </w:div>
      </w:divsChild>
    </w:div>
    <w:div w:id="1741752589">
      <w:bodyDiv w:val="1"/>
      <w:marLeft w:val="0"/>
      <w:marRight w:val="0"/>
      <w:marTop w:val="0"/>
      <w:marBottom w:val="0"/>
      <w:divBdr>
        <w:top w:val="none" w:sz="0" w:space="0" w:color="auto"/>
        <w:left w:val="none" w:sz="0" w:space="0" w:color="auto"/>
        <w:bottom w:val="none" w:sz="0" w:space="0" w:color="auto"/>
        <w:right w:val="none" w:sz="0" w:space="0" w:color="auto"/>
      </w:divBdr>
    </w:div>
    <w:div w:id="1831020169">
      <w:bodyDiv w:val="1"/>
      <w:marLeft w:val="0"/>
      <w:marRight w:val="0"/>
      <w:marTop w:val="0"/>
      <w:marBottom w:val="0"/>
      <w:divBdr>
        <w:top w:val="none" w:sz="0" w:space="0" w:color="auto"/>
        <w:left w:val="none" w:sz="0" w:space="0" w:color="auto"/>
        <w:bottom w:val="none" w:sz="0" w:space="0" w:color="auto"/>
        <w:right w:val="none" w:sz="0" w:space="0" w:color="auto"/>
      </w:divBdr>
    </w:div>
    <w:div w:id="1843277026">
      <w:bodyDiv w:val="1"/>
      <w:marLeft w:val="0"/>
      <w:marRight w:val="0"/>
      <w:marTop w:val="0"/>
      <w:marBottom w:val="0"/>
      <w:divBdr>
        <w:top w:val="none" w:sz="0" w:space="0" w:color="auto"/>
        <w:left w:val="none" w:sz="0" w:space="0" w:color="auto"/>
        <w:bottom w:val="none" w:sz="0" w:space="0" w:color="auto"/>
        <w:right w:val="none" w:sz="0" w:space="0" w:color="auto"/>
      </w:divBdr>
      <w:divsChild>
        <w:div w:id="669990416">
          <w:marLeft w:val="0"/>
          <w:marRight w:val="0"/>
          <w:marTop w:val="0"/>
          <w:marBottom w:val="0"/>
          <w:divBdr>
            <w:top w:val="none" w:sz="0" w:space="0" w:color="auto"/>
            <w:left w:val="none" w:sz="0" w:space="0" w:color="auto"/>
            <w:bottom w:val="none" w:sz="0" w:space="0" w:color="auto"/>
            <w:right w:val="none" w:sz="0" w:space="0" w:color="auto"/>
          </w:divBdr>
        </w:div>
        <w:div w:id="8459492">
          <w:marLeft w:val="0"/>
          <w:marRight w:val="0"/>
          <w:marTop w:val="0"/>
          <w:marBottom w:val="0"/>
          <w:divBdr>
            <w:top w:val="none" w:sz="0" w:space="0" w:color="auto"/>
            <w:left w:val="none" w:sz="0" w:space="0" w:color="auto"/>
            <w:bottom w:val="none" w:sz="0" w:space="0" w:color="auto"/>
            <w:right w:val="none" w:sz="0" w:space="0" w:color="auto"/>
          </w:divBdr>
        </w:div>
        <w:div w:id="506361772">
          <w:marLeft w:val="0"/>
          <w:marRight w:val="0"/>
          <w:marTop w:val="0"/>
          <w:marBottom w:val="0"/>
          <w:divBdr>
            <w:top w:val="none" w:sz="0" w:space="0" w:color="auto"/>
            <w:left w:val="none" w:sz="0" w:space="0" w:color="auto"/>
            <w:bottom w:val="none" w:sz="0" w:space="0" w:color="auto"/>
            <w:right w:val="none" w:sz="0" w:space="0" w:color="auto"/>
          </w:divBdr>
        </w:div>
        <w:div w:id="784814712">
          <w:marLeft w:val="0"/>
          <w:marRight w:val="0"/>
          <w:marTop w:val="0"/>
          <w:marBottom w:val="0"/>
          <w:divBdr>
            <w:top w:val="none" w:sz="0" w:space="0" w:color="auto"/>
            <w:left w:val="none" w:sz="0" w:space="0" w:color="auto"/>
            <w:bottom w:val="none" w:sz="0" w:space="0" w:color="auto"/>
            <w:right w:val="none" w:sz="0" w:space="0" w:color="auto"/>
          </w:divBdr>
        </w:div>
      </w:divsChild>
    </w:div>
    <w:div w:id="1898129776">
      <w:bodyDiv w:val="1"/>
      <w:marLeft w:val="0"/>
      <w:marRight w:val="0"/>
      <w:marTop w:val="0"/>
      <w:marBottom w:val="0"/>
      <w:divBdr>
        <w:top w:val="none" w:sz="0" w:space="0" w:color="auto"/>
        <w:left w:val="none" w:sz="0" w:space="0" w:color="auto"/>
        <w:bottom w:val="none" w:sz="0" w:space="0" w:color="auto"/>
        <w:right w:val="none" w:sz="0" w:space="0" w:color="auto"/>
      </w:divBdr>
    </w:div>
    <w:div w:id="1923448484">
      <w:bodyDiv w:val="1"/>
      <w:marLeft w:val="0"/>
      <w:marRight w:val="0"/>
      <w:marTop w:val="0"/>
      <w:marBottom w:val="0"/>
      <w:divBdr>
        <w:top w:val="none" w:sz="0" w:space="0" w:color="auto"/>
        <w:left w:val="none" w:sz="0" w:space="0" w:color="auto"/>
        <w:bottom w:val="none" w:sz="0" w:space="0" w:color="auto"/>
        <w:right w:val="none" w:sz="0" w:space="0" w:color="auto"/>
      </w:divBdr>
    </w:div>
    <w:div w:id="1941598367">
      <w:bodyDiv w:val="1"/>
      <w:marLeft w:val="0"/>
      <w:marRight w:val="0"/>
      <w:marTop w:val="0"/>
      <w:marBottom w:val="0"/>
      <w:divBdr>
        <w:top w:val="none" w:sz="0" w:space="0" w:color="auto"/>
        <w:left w:val="none" w:sz="0" w:space="0" w:color="auto"/>
        <w:bottom w:val="none" w:sz="0" w:space="0" w:color="auto"/>
        <w:right w:val="none" w:sz="0" w:space="0" w:color="auto"/>
      </w:divBdr>
      <w:divsChild>
        <w:div w:id="1755080782">
          <w:marLeft w:val="0"/>
          <w:marRight w:val="0"/>
          <w:marTop w:val="0"/>
          <w:marBottom w:val="0"/>
          <w:divBdr>
            <w:top w:val="none" w:sz="0" w:space="0" w:color="auto"/>
            <w:left w:val="none" w:sz="0" w:space="0" w:color="auto"/>
            <w:bottom w:val="none" w:sz="0" w:space="0" w:color="auto"/>
            <w:right w:val="none" w:sz="0" w:space="0" w:color="auto"/>
          </w:divBdr>
        </w:div>
        <w:div w:id="591858680">
          <w:marLeft w:val="0"/>
          <w:marRight w:val="0"/>
          <w:marTop w:val="0"/>
          <w:marBottom w:val="0"/>
          <w:divBdr>
            <w:top w:val="none" w:sz="0" w:space="0" w:color="auto"/>
            <w:left w:val="none" w:sz="0" w:space="0" w:color="auto"/>
            <w:bottom w:val="none" w:sz="0" w:space="0" w:color="auto"/>
            <w:right w:val="none" w:sz="0" w:space="0" w:color="auto"/>
          </w:divBdr>
        </w:div>
        <w:div w:id="1187987556">
          <w:marLeft w:val="0"/>
          <w:marRight w:val="0"/>
          <w:marTop w:val="0"/>
          <w:marBottom w:val="0"/>
          <w:divBdr>
            <w:top w:val="none" w:sz="0" w:space="0" w:color="auto"/>
            <w:left w:val="none" w:sz="0" w:space="0" w:color="auto"/>
            <w:bottom w:val="none" w:sz="0" w:space="0" w:color="auto"/>
            <w:right w:val="none" w:sz="0" w:space="0" w:color="auto"/>
          </w:divBdr>
        </w:div>
        <w:div w:id="1223054105">
          <w:marLeft w:val="0"/>
          <w:marRight w:val="0"/>
          <w:marTop w:val="0"/>
          <w:marBottom w:val="0"/>
          <w:divBdr>
            <w:top w:val="none" w:sz="0" w:space="0" w:color="auto"/>
            <w:left w:val="none" w:sz="0" w:space="0" w:color="auto"/>
            <w:bottom w:val="none" w:sz="0" w:space="0" w:color="auto"/>
            <w:right w:val="none" w:sz="0" w:space="0" w:color="auto"/>
          </w:divBdr>
        </w:div>
      </w:divsChild>
    </w:div>
    <w:div w:id="2087217175">
      <w:bodyDiv w:val="1"/>
      <w:marLeft w:val="0"/>
      <w:marRight w:val="0"/>
      <w:marTop w:val="0"/>
      <w:marBottom w:val="0"/>
      <w:divBdr>
        <w:top w:val="none" w:sz="0" w:space="0" w:color="auto"/>
        <w:left w:val="none" w:sz="0" w:space="0" w:color="auto"/>
        <w:bottom w:val="none" w:sz="0" w:space="0" w:color="auto"/>
        <w:right w:val="none" w:sz="0" w:space="0" w:color="auto"/>
      </w:divBdr>
    </w:div>
    <w:div w:id="2128427402">
      <w:bodyDiv w:val="1"/>
      <w:marLeft w:val="0"/>
      <w:marRight w:val="0"/>
      <w:marTop w:val="0"/>
      <w:marBottom w:val="0"/>
      <w:divBdr>
        <w:top w:val="none" w:sz="0" w:space="0" w:color="auto"/>
        <w:left w:val="none" w:sz="0" w:space="0" w:color="auto"/>
        <w:bottom w:val="none" w:sz="0" w:space="0" w:color="auto"/>
        <w:right w:val="none" w:sz="0" w:space="0" w:color="auto"/>
      </w:divBdr>
    </w:div>
    <w:div w:id="2129427542">
      <w:bodyDiv w:val="1"/>
      <w:marLeft w:val="0"/>
      <w:marRight w:val="0"/>
      <w:marTop w:val="0"/>
      <w:marBottom w:val="0"/>
      <w:divBdr>
        <w:top w:val="none" w:sz="0" w:space="0" w:color="auto"/>
        <w:left w:val="none" w:sz="0" w:space="0" w:color="auto"/>
        <w:bottom w:val="none" w:sz="0" w:space="0" w:color="auto"/>
        <w:right w:val="none" w:sz="0" w:space="0" w:color="auto"/>
      </w:divBdr>
      <w:divsChild>
        <w:div w:id="1939756864">
          <w:marLeft w:val="0"/>
          <w:marRight w:val="0"/>
          <w:marTop w:val="0"/>
          <w:marBottom w:val="0"/>
          <w:divBdr>
            <w:top w:val="none" w:sz="0" w:space="0" w:color="auto"/>
            <w:left w:val="none" w:sz="0" w:space="0" w:color="auto"/>
            <w:bottom w:val="none" w:sz="0" w:space="0" w:color="auto"/>
            <w:right w:val="none" w:sz="0" w:space="0" w:color="auto"/>
          </w:divBdr>
        </w:div>
        <w:div w:id="1434860249">
          <w:marLeft w:val="0"/>
          <w:marRight w:val="0"/>
          <w:marTop w:val="0"/>
          <w:marBottom w:val="0"/>
          <w:divBdr>
            <w:top w:val="none" w:sz="0" w:space="0" w:color="auto"/>
            <w:left w:val="none" w:sz="0" w:space="0" w:color="auto"/>
            <w:bottom w:val="none" w:sz="0" w:space="0" w:color="auto"/>
            <w:right w:val="none" w:sz="0" w:space="0" w:color="auto"/>
          </w:divBdr>
        </w:div>
        <w:div w:id="1891844764">
          <w:marLeft w:val="0"/>
          <w:marRight w:val="0"/>
          <w:marTop w:val="0"/>
          <w:marBottom w:val="0"/>
          <w:divBdr>
            <w:top w:val="none" w:sz="0" w:space="0" w:color="auto"/>
            <w:left w:val="none" w:sz="0" w:space="0" w:color="auto"/>
            <w:bottom w:val="none" w:sz="0" w:space="0" w:color="auto"/>
            <w:right w:val="none" w:sz="0" w:space="0" w:color="auto"/>
          </w:divBdr>
        </w:div>
        <w:div w:id="11883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ergman.house.gov/uploadedfiles/mdma_assisted_therapy_letter.pdf" TargetMode="External"/><Relationship Id="rId18" Type="http://schemas.openxmlformats.org/officeDocument/2006/relationships/hyperlink" Target="https://www.hhs.gov/about/news/2024/08/08/breaking-language-barriers-hhs-issues-division-specific-language-access-plans-from-across-department.html" TargetMode="External"/><Relationship Id="rId26"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hyperlink" Target="https://www.hhs.gov/about/news/2024/08/07/biden-harris-administration-awards-nearly-9-million-improve-access-cancer-screening-connections-follow-up-treatment-underserved-communities.html" TargetMode="External"/><Relationship Id="rId7" Type="http://schemas.openxmlformats.org/officeDocument/2006/relationships/endnotes" Target="endnotes.xml"/><Relationship Id="rId12" Type="http://schemas.openxmlformats.org/officeDocument/2006/relationships/hyperlink" Target="https://bergman.house.gov/news/documentsingle.aspx?DocumentID=1303" TargetMode="External"/><Relationship Id="rId17" Type="http://schemas.openxmlformats.org/officeDocument/2006/relationships/hyperlink" Target="https://www.justice.gov/crt/executive-order-13166" TargetMode="External"/><Relationship Id="rId25" Type="http://schemas.openxmlformats.org/officeDocument/2006/relationships/hyperlink" Target="https://mn.gov/governor/newsroom/press-releases/?id=1055-568986" TargetMode="External"/><Relationship Id="rId2" Type="http://schemas.openxmlformats.org/officeDocument/2006/relationships/numbering" Target="numbering.xml"/><Relationship Id="rId16" Type="http://schemas.openxmlformats.org/officeDocument/2006/relationships/hyperlink" Target="https://nap.nationalacademies.org/catalog/27759/expanding-behavioral-health-care-workforce-participation-in-medicare-medicaid-and-marketplace-plans" TargetMode="External"/><Relationship Id="rId20" Type="http://schemas.openxmlformats.org/officeDocument/2006/relationships/hyperlink" Target="https://www.hrsa.gov/about/news/press-releases/new-data-health-center-patient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meridisability.com/from-diagnosis-to-advocacy-how-medical-students-are-changing-disability-care/" TargetMode="External"/><Relationship Id="rId24" Type="http://schemas.openxmlformats.org/officeDocument/2006/relationships/hyperlink" Target="https://mn.gov/governor/newsroom/press-releases/?id=1055-428439" TargetMode="External"/><Relationship Id="rId5" Type="http://schemas.openxmlformats.org/officeDocument/2006/relationships/webSettings" Target="webSettings.xml"/><Relationship Id="rId15" Type="http://schemas.openxmlformats.org/officeDocument/2006/relationships/hyperlink" Target="https://www.healthsystemtracker.org/brief/how-much-and-why-aca-marketplace-premiums-are-going-up-in-2025/" TargetMode="External"/><Relationship Id="rId23" Type="http://schemas.openxmlformats.org/officeDocument/2006/relationships/hyperlink" Target="https://www.cancer.gov/research/key-initiatives/moonshot-cancer-initiative/implementation/prevention-early-detection" TargetMode="External"/><Relationship Id="rId28" Type="http://schemas.openxmlformats.org/officeDocument/2006/relationships/header" Target="header1.xml"/><Relationship Id="rId10" Type="http://schemas.openxmlformats.org/officeDocument/2006/relationships/hyperlink" Target="https://www.help.senate.gov/hearings/s_-older-americans-act-reauthorization-act-s_-autism-cares-act-and-s-4755-traumatic-brain-injury-program-reauthorization-act" TargetMode="External"/><Relationship Id="rId19" Type="http://schemas.openxmlformats.org/officeDocument/2006/relationships/hyperlink" Target="https://www.hhs.gov/sites/default/files/language-access-plan-2023.pdf"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disabilityscoop.com/2024/08/12/as-deadline-looms-congress-weighs-future-of-autism-act/31000/" TargetMode="External"/><Relationship Id="rId14" Type="http://schemas.openxmlformats.org/officeDocument/2006/relationships/hyperlink" Target="https://www.cms.gov/newsroom/fact-sheets/final-notice-transitional-coverage-emerging-technologies-cms-3421-fn" TargetMode="External"/><Relationship Id="rId22" Type="http://schemas.openxmlformats.org/officeDocument/2006/relationships/hyperlink" Target="https://www.whitehouse.gov/cancermoonshot/" TargetMode="External"/><Relationship Id="rId27" Type="http://schemas.openxmlformats.org/officeDocument/2006/relationships/image" Target="media/image3.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96CD9C-3D5A-4444-BD84-CA46FCCA5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5</Pages>
  <Words>1989</Words>
  <Characters>11338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 Hamburger</dc:creator>
  <cp:keywords/>
  <dc:description/>
  <cp:lastModifiedBy>Brian Lindberg</cp:lastModifiedBy>
  <cp:revision>76</cp:revision>
  <dcterms:created xsi:type="dcterms:W3CDTF">2024-08-12T17:28:00Z</dcterms:created>
  <dcterms:modified xsi:type="dcterms:W3CDTF">2024-08-13T18:32:00Z</dcterms:modified>
</cp:coreProperties>
</file>