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4CB77" w14:textId="25D3951E" w:rsidR="00113E3B" w:rsidRDefault="00715EA6" w:rsidP="00113E3B">
      <w:pPr>
        <w:spacing w:before="240"/>
        <w:rPr>
          <w:rFonts w:ascii="Poppins SemiBold" w:hAnsi="Poppins SemiBold" w:cs="Poppins SemiBold"/>
          <w:noProof/>
          <w:sz w:val="32"/>
          <w:szCs w:val="32"/>
        </w:rPr>
      </w:pPr>
      <w:r w:rsidRPr="00DA1ED7">
        <w:rPr>
          <w:rFonts w:ascii="Poppins SemiBold" w:hAnsi="Poppins SemiBold" w:cs="Poppins SemiBold"/>
          <w:noProof/>
          <w:sz w:val="32"/>
          <w:szCs w:val="32"/>
        </w:rPr>
        <w:drawing>
          <wp:anchor distT="0" distB="0" distL="114300" distR="114300" simplePos="0" relativeHeight="251659264"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54B40">
        <w:rPr>
          <w:rFonts w:ascii="Poppins SemiBold" w:hAnsi="Poppins SemiBold"/>
          <w:b/>
          <w:bCs/>
          <w:color w:val="4472C4" w:themeColor="accent1"/>
          <w:sz w:val="32"/>
          <w:szCs w:val="32"/>
        </w:rPr>
        <w:t>April</w:t>
      </w:r>
      <w:r w:rsidR="7B84623B" w:rsidRPr="7B84623B">
        <w:rPr>
          <w:rFonts w:ascii="Poppins SemiBold" w:hAnsi="Poppins SemiBold"/>
          <w:b/>
          <w:bCs/>
          <w:color w:val="4472C4" w:themeColor="accent1"/>
          <w:sz w:val="32"/>
          <w:szCs w:val="32"/>
        </w:rPr>
        <w:t xml:space="preserve"> </w:t>
      </w:r>
      <w:r w:rsidR="002942FD">
        <w:rPr>
          <w:rFonts w:ascii="Poppins SemiBold" w:hAnsi="Poppins SemiBold"/>
          <w:b/>
          <w:bCs/>
          <w:color w:val="4472C4" w:themeColor="accent1"/>
          <w:sz w:val="32"/>
          <w:szCs w:val="32"/>
        </w:rPr>
        <w:t>8</w:t>
      </w:r>
      <w:r w:rsidR="7B84623B" w:rsidRPr="7B84623B">
        <w:rPr>
          <w:rFonts w:ascii="Poppins SemiBold" w:hAnsi="Poppins SemiBold"/>
          <w:b/>
          <w:bCs/>
          <w:color w:val="4472C4" w:themeColor="accent1"/>
          <w:sz w:val="32"/>
          <w:szCs w:val="32"/>
        </w:rPr>
        <w:t>, 2025</w:t>
      </w:r>
    </w:p>
    <w:p w14:paraId="4FC75CF4" w14:textId="6EEE3D52" w:rsidR="000E51E3" w:rsidRDefault="000E51E3" w:rsidP="006715C7">
      <w:pPr>
        <w:rPr>
          <w:rFonts w:ascii="Poppins SemiBold" w:hAnsi="Poppins SemiBold"/>
          <w:b/>
          <w:bCs/>
          <w:color w:val="4472C4" w:themeColor="accent1"/>
          <w:sz w:val="24"/>
          <w:szCs w:val="24"/>
        </w:rPr>
      </w:pPr>
      <w:r>
        <w:rPr>
          <w:rFonts w:ascii="Poppins SemiBold" w:hAnsi="Poppins SemiBold"/>
          <w:b/>
          <w:bCs/>
          <w:color w:val="4472C4" w:themeColor="accent1"/>
          <w:sz w:val="24"/>
          <w:szCs w:val="24"/>
        </w:rPr>
        <w:t>Mass Layoffs Begin at HHS</w:t>
      </w:r>
      <w:r w:rsidR="0012278F">
        <w:rPr>
          <w:rFonts w:ascii="Poppins SemiBold" w:hAnsi="Poppins SemiBold"/>
          <w:b/>
          <w:bCs/>
          <w:color w:val="4472C4" w:themeColor="accent1"/>
          <w:sz w:val="24"/>
          <w:szCs w:val="24"/>
        </w:rPr>
        <w:t>, ACL is Dismantled;</w:t>
      </w:r>
      <w:r>
        <w:rPr>
          <w:rFonts w:ascii="Poppins SemiBold" w:hAnsi="Poppins SemiBold"/>
          <w:b/>
          <w:bCs/>
          <w:color w:val="4472C4" w:themeColor="accent1"/>
          <w:sz w:val="24"/>
          <w:szCs w:val="24"/>
        </w:rPr>
        <w:t xml:space="preserve"> Likely to have Ripple Effect on Disability Programs Nationwide </w:t>
      </w:r>
    </w:p>
    <w:p w14:paraId="025DBE72" w14:textId="2B8A7650" w:rsidR="000E51E3" w:rsidRPr="001237E4" w:rsidRDefault="000E51E3" w:rsidP="000E51E3">
      <w:pPr>
        <w:spacing w:before="240" w:after="240"/>
        <w:rPr>
          <w:rFonts w:ascii="Poppins" w:hAnsi="Poppins" w:cs="Poppins"/>
          <w:sz w:val="20"/>
          <w:szCs w:val="20"/>
        </w:rPr>
      </w:pPr>
      <w:r w:rsidRPr="001237E4">
        <w:rPr>
          <w:rFonts w:ascii="Poppins" w:eastAsia="Calibri" w:hAnsi="Poppins" w:cs="Poppins"/>
          <w:sz w:val="20"/>
          <w:szCs w:val="20"/>
        </w:rPr>
        <w:t xml:space="preserve">The U.S. Health and Human Services Department (HHS) began implementing the significant overhaul </w:t>
      </w:r>
      <w:hyperlink r:id="rId8">
        <w:r w:rsidRPr="001237E4">
          <w:rPr>
            <w:rStyle w:val="Hyperlink"/>
            <w:rFonts w:ascii="Poppins" w:eastAsia="Calibri" w:hAnsi="Poppins" w:cs="Poppins"/>
            <w:sz w:val="20"/>
            <w:szCs w:val="20"/>
          </w:rPr>
          <w:t>initiated</w:t>
        </w:r>
      </w:hyperlink>
      <w:r w:rsidRPr="001237E4">
        <w:rPr>
          <w:rFonts w:ascii="Poppins" w:eastAsia="Calibri" w:hAnsi="Poppins" w:cs="Poppins"/>
          <w:sz w:val="20"/>
          <w:szCs w:val="20"/>
        </w:rPr>
        <w:t xml:space="preserve"> by Secretary Robert F. Kennedy, Jr. last week, resulting in widespread layoffs that are expected to affect up to 10,000 employees. Specific agencies within HHS have been </w:t>
      </w:r>
      <w:hyperlink r:id="rId9">
        <w:r w:rsidRPr="001237E4">
          <w:rPr>
            <w:rStyle w:val="Hyperlink"/>
            <w:rFonts w:ascii="Poppins" w:eastAsia="Calibri" w:hAnsi="Poppins" w:cs="Poppins"/>
            <w:sz w:val="20"/>
            <w:szCs w:val="20"/>
          </w:rPr>
          <w:t>substantially impa</w:t>
        </w:r>
        <w:r w:rsidRPr="001237E4">
          <w:rPr>
            <w:rStyle w:val="Hyperlink"/>
            <w:rFonts w:ascii="Poppins" w:eastAsia="Calibri" w:hAnsi="Poppins" w:cs="Poppins"/>
            <w:sz w:val="20"/>
            <w:szCs w:val="20"/>
          </w:rPr>
          <w:t>c</w:t>
        </w:r>
        <w:r w:rsidRPr="001237E4">
          <w:rPr>
            <w:rStyle w:val="Hyperlink"/>
            <w:rFonts w:ascii="Poppins" w:eastAsia="Calibri" w:hAnsi="Poppins" w:cs="Poppins"/>
            <w:sz w:val="20"/>
            <w:szCs w:val="20"/>
          </w:rPr>
          <w:t>ted</w:t>
        </w:r>
      </w:hyperlink>
      <w:r w:rsidRPr="001237E4">
        <w:rPr>
          <w:rFonts w:ascii="Poppins" w:eastAsia="Calibri" w:hAnsi="Poppins" w:cs="Poppins"/>
          <w:sz w:val="20"/>
          <w:szCs w:val="20"/>
        </w:rPr>
        <w:t>, including the National Institutes of Health (NIH), where approximately 1,200 employees have been terminated, including at least four directors and significant portions of the agency’s communications staff. The Food and Drug Administration (FDA) has also seen substantial staff reductions, with approximately 3,500 jobs cut, including personnel who are responsible for regulating food, drugs, medical devices, and tobacco products. The Centers for Disease Control and Prevention (CDC) has also experienced around 2,400 job losses across various programs, while the Centers for Medicare and Medicaid Services (CMS) has had 300 positions eliminated.</w:t>
      </w:r>
      <w:r w:rsidR="0012278F" w:rsidRPr="001237E4">
        <w:rPr>
          <w:rFonts w:ascii="Poppins" w:hAnsi="Poppins" w:cs="Poppins"/>
          <w:sz w:val="20"/>
          <w:szCs w:val="20"/>
        </w:rPr>
        <w:t xml:space="preserve"> </w:t>
      </w:r>
      <w:r w:rsidR="0012278F" w:rsidRPr="001237E4">
        <w:rPr>
          <w:rFonts w:ascii="Poppins" w:eastAsia="Calibri" w:hAnsi="Poppins" w:cs="Poppins"/>
          <w:sz w:val="20"/>
          <w:szCs w:val="20"/>
        </w:rPr>
        <w:t xml:space="preserve">Nearly 50% of ACL staff, including those handling budgeting and policy, were </w:t>
      </w:r>
      <w:hyperlink r:id="rId10" w:history="1">
        <w:r w:rsidR="0012278F" w:rsidRPr="001237E4">
          <w:rPr>
            <w:rStyle w:val="Hyperlink"/>
            <w:rFonts w:ascii="Poppins" w:eastAsia="Calibri" w:hAnsi="Poppins" w:cs="Poppins"/>
            <w:sz w:val="20"/>
            <w:szCs w:val="20"/>
          </w:rPr>
          <w:t>terminated</w:t>
        </w:r>
      </w:hyperlink>
      <w:r w:rsidR="0012278F" w:rsidRPr="001237E4">
        <w:rPr>
          <w:rFonts w:ascii="Poppins" w:eastAsia="Calibri" w:hAnsi="Poppins" w:cs="Poppins"/>
          <w:sz w:val="20"/>
          <w:szCs w:val="20"/>
        </w:rPr>
        <w:t xml:space="preserve"> as part of a broader effort to downsize HHS. The restructuring includes dismantling ACL and shifting its programs—such as independent living centers, developmental disabilities councils, and Medicaid-related services—to other agencies.</w:t>
      </w:r>
    </w:p>
    <w:p w14:paraId="30D54FA8" w14:textId="00E636CC" w:rsidR="000E51E3" w:rsidRPr="001237E4" w:rsidRDefault="000E51E3" w:rsidP="0012278F">
      <w:pPr>
        <w:spacing w:before="240" w:after="240"/>
        <w:rPr>
          <w:rFonts w:ascii="Poppins" w:eastAsia="Calibri" w:hAnsi="Poppins" w:cs="Poppins"/>
          <w:sz w:val="20"/>
          <w:szCs w:val="20"/>
        </w:rPr>
      </w:pPr>
      <w:r w:rsidRPr="001237E4">
        <w:rPr>
          <w:rFonts w:ascii="Poppins" w:eastAsia="Calibri" w:hAnsi="Poppins" w:cs="Poppins"/>
          <w:sz w:val="20"/>
          <w:szCs w:val="20"/>
        </w:rPr>
        <w:t>These layoffs are part of a broader plan to restructure HHS, aiming to reduce its workforce by nearly a quarter and to save an estimated $1.8 billion annually. The cuts are impacting researchers, scientists, doctors, support staff, and senior leaders, raising concerns about the loss of expertise and the potential consequences for public health initiatives and the agencies' ability to respond to health crises.</w:t>
      </w:r>
      <w:r w:rsidR="0012278F" w:rsidRPr="001237E4">
        <w:rPr>
          <w:rFonts w:ascii="Poppins" w:hAnsi="Poppins" w:cs="Poppins"/>
          <w:sz w:val="20"/>
          <w:szCs w:val="20"/>
        </w:rPr>
        <w:t xml:space="preserve"> </w:t>
      </w:r>
      <w:r w:rsidR="0012278F" w:rsidRPr="001237E4">
        <w:rPr>
          <w:rFonts w:ascii="Poppins" w:eastAsia="Calibri" w:hAnsi="Poppins" w:cs="Poppins"/>
          <w:sz w:val="20"/>
          <w:szCs w:val="20"/>
        </w:rPr>
        <w:t xml:space="preserve">Disability advocates </w:t>
      </w:r>
      <w:hyperlink r:id="rId11" w:history="1">
        <w:r w:rsidR="0012278F" w:rsidRPr="001237E4">
          <w:rPr>
            <w:rStyle w:val="Hyperlink"/>
            <w:rFonts w:ascii="Poppins" w:eastAsia="Calibri" w:hAnsi="Poppins" w:cs="Poppins"/>
            <w:sz w:val="20"/>
            <w:szCs w:val="20"/>
          </w:rPr>
          <w:t>warn</w:t>
        </w:r>
      </w:hyperlink>
      <w:r w:rsidR="0012278F" w:rsidRPr="001237E4">
        <w:rPr>
          <w:rFonts w:ascii="Poppins" w:eastAsia="Calibri" w:hAnsi="Poppins" w:cs="Poppins"/>
          <w:sz w:val="20"/>
          <w:szCs w:val="20"/>
        </w:rPr>
        <w:t xml:space="preserve"> that the abrupt firings will delay funding distribution, hinder policy development, and potentially force program closures. Many federally funded disability programs, including those for accessible transportation, home and community-based services, and direct care workforce support, may face operational uncertainty. Additionally, major cuts at the CDC have eliminated the </w:t>
      </w:r>
      <w:r w:rsidR="0012278F" w:rsidRPr="001237E4">
        <w:rPr>
          <w:rFonts w:ascii="Poppins" w:eastAsia="Calibri" w:hAnsi="Poppins" w:cs="Poppins"/>
          <w:sz w:val="20"/>
          <w:szCs w:val="20"/>
        </w:rPr>
        <w:lastRenderedPageBreak/>
        <w:t>Disability and Health Promotion Branch, which focused on improving public health for people with disabilities.</w:t>
      </w:r>
    </w:p>
    <w:p w14:paraId="167F5CB5" w14:textId="60A915F2" w:rsidR="0012278F" w:rsidRPr="001237E4" w:rsidRDefault="0012278F" w:rsidP="0012278F">
      <w:pPr>
        <w:spacing w:before="240" w:after="240"/>
        <w:rPr>
          <w:rFonts w:ascii="Poppins" w:hAnsi="Poppins" w:cs="Poppins"/>
          <w:sz w:val="20"/>
          <w:szCs w:val="20"/>
        </w:rPr>
      </w:pPr>
      <w:r w:rsidRPr="001237E4">
        <w:rPr>
          <w:rFonts w:ascii="Poppins" w:eastAsia="Calibri" w:hAnsi="Poppins" w:cs="Poppins"/>
          <w:sz w:val="20"/>
          <w:szCs w:val="20"/>
        </w:rPr>
        <w:t xml:space="preserve">Various aging and disability organizations, including the </w:t>
      </w:r>
      <w:hyperlink r:id="rId12" w:history="1">
        <w:r w:rsidRPr="001237E4">
          <w:rPr>
            <w:rStyle w:val="Hyperlink"/>
            <w:rFonts w:ascii="Poppins" w:eastAsia="Calibri" w:hAnsi="Poppins" w:cs="Poppins"/>
            <w:sz w:val="20"/>
            <w:szCs w:val="20"/>
          </w:rPr>
          <w:t>Leadership Council of Aging Organizations,</w:t>
        </w:r>
      </w:hyperlink>
      <w:r w:rsidRPr="001237E4">
        <w:rPr>
          <w:rFonts w:ascii="Poppins" w:eastAsia="Calibri" w:hAnsi="Poppins" w:cs="Poppins"/>
          <w:sz w:val="20"/>
          <w:szCs w:val="20"/>
        </w:rPr>
        <w:t xml:space="preserve"> </w:t>
      </w:r>
      <w:hyperlink r:id="rId13" w:history="1">
        <w:r w:rsidRPr="001237E4">
          <w:rPr>
            <w:rStyle w:val="Hyperlink"/>
            <w:rFonts w:ascii="Poppins" w:eastAsia="Calibri" w:hAnsi="Poppins" w:cs="Poppins"/>
            <w:sz w:val="20"/>
            <w:szCs w:val="20"/>
          </w:rPr>
          <w:t xml:space="preserve">Consortium of </w:t>
        </w:r>
        <w:r w:rsidR="00B13E56" w:rsidRPr="001237E4">
          <w:rPr>
            <w:rStyle w:val="Hyperlink"/>
            <w:rFonts w:ascii="Poppins" w:eastAsia="Calibri" w:hAnsi="Poppins" w:cs="Poppins"/>
            <w:sz w:val="20"/>
            <w:szCs w:val="20"/>
          </w:rPr>
          <w:t>Constituents</w:t>
        </w:r>
        <w:r w:rsidRPr="001237E4">
          <w:rPr>
            <w:rStyle w:val="Hyperlink"/>
            <w:rFonts w:ascii="Poppins" w:eastAsia="Calibri" w:hAnsi="Poppins" w:cs="Poppins"/>
            <w:sz w:val="20"/>
            <w:szCs w:val="20"/>
          </w:rPr>
          <w:t xml:space="preserve"> with Disabilities</w:t>
        </w:r>
      </w:hyperlink>
      <w:r w:rsidRPr="001237E4">
        <w:rPr>
          <w:rFonts w:ascii="Poppins" w:eastAsia="Calibri" w:hAnsi="Poppins" w:cs="Poppins"/>
          <w:sz w:val="20"/>
          <w:szCs w:val="20"/>
        </w:rPr>
        <w:t xml:space="preserve">, </w:t>
      </w:r>
      <w:hyperlink r:id="rId14" w:history="1">
        <w:r w:rsidR="00B13E56" w:rsidRPr="001237E4">
          <w:rPr>
            <w:rStyle w:val="Hyperlink"/>
            <w:rFonts w:ascii="Poppins" w:eastAsia="Calibri" w:hAnsi="Poppins" w:cs="Poppins"/>
            <w:sz w:val="20"/>
            <w:szCs w:val="20"/>
          </w:rPr>
          <w:t>Justice</w:t>
        </w:r>
        <w:r w:rsidRPr="001237E4">
          <w:rPr>
            <w:rStyle w:val="Hyperlink"/>
            <w:rFonts w:ascii="Poppins" w:eastAsia="Calibri" w:hAnsi="Poppins" w:cs="Poppins"/>
            <w:sz w:val="20"/>
            <w:szCs w:val="20"/>
          </w:rPr>
          <w:t xml:space="preserve"> in Aging</w:t>
        </w:r>
      </w:hyperlink>
      <w:r w:rsidRPr="001237E4">
        <w:rPr>
          <w:rFonts w:ascii="Poppins" w:eastAsia="Calibri" w:hAnsi="Poppins" w:cs="Poppins"/>
          <w:sz w:val="20"/>
          <w:szCs w:val="20"/>
        </w:rPr>
        <w:t xml:space="preserve">, </w:t>
      </w:r>
      <w:hyperlink r:id="rId15" w:history="1">
        <w:r w:rsidRPr="001237E4">
          <w:rPr>
            <w:rStyle w:val="Hyperlink"/>
            <w:rFonts w:ascii="Poppins" w:eastAsia="Calibri" w:hAnsi="Poppins" w:cs="Poppins"/>
            <w:sz w:val="20"/>
            <w:szCs w:val="20"/>
          </w:rPr>
          <w:t>National Alliance for Caregiving</w:t>
        </w:r>
      </w:hyperlink>
      <w:r w:rsidRPr="001237E4">
        <w:rPr>
          <w:rFonts w:ascii="Poppins" w:eastAsia="Calibri" w:hAnsi="Poppins" w:cs="Poppins"/>
          <w:sz w:val="20"/>
          <w:szCs w:val="20"/>
        </w:rPr>
        <w:t xml:space="preserve">, </w:t>
      </w:r>
      <w:hyperlink r:id="rId16" w:history="1">
        <w:r w:rsidRPr="00AB1678">
          <w:rPr>
            <w:rStyle w:val="Hyperlink"/>
            <w:rFonts w:ascii="Poppins" w:eastAsia="Calibri" w:hAnsi="Poppins" w:cs="Poppins"/>
            <w:sz w:val="20"/>
            <w:szCs w:val="20"/>
          </w:rPr>
          <w:t>AARP</w:t>
        </w:r>
      </w:hyperlink>
      <w:r w:rsidRPr="001237E4">
        <w:rPr>
          <w:rFonts w:ascii="Poppins" w:eastAsia="Calibri" w:hAnsi="Poppins" w:cs="Poppins"/>
          <w:sz w:val="20"/>
          <w:szCs w:val="20"/>
        </w:rPr>
        <w:t xml:space="preserve">, </w:t>
      </w:r>
      <w:hyperlink r:id="rId17" w:history="1">
        <w:r w:rsidRPr="00AB1678">
          <w:rPr>
            <w:rStyle w:val="Hyperlink"/>
            <w:rFonts w:ascii="Poppins" w:eastAsia="Calibri" w:hAnsi="Poppins" w:cs="Poppins"/>
            <w:sz w:val="20"/>
            <w:szCs w:val="20"/>
          </w:rPr>
          <w:t xml:space="preserve">National Associate of Councils on Development </w:t>
        </w:r>
        <w:r w:rsidR="00B13E56" w:rsidRPr="00AB1678">
          <w:rPr>
            <w:rStyle w:val="Hyperlink"/>
            <w:rFonts w:ascii="Poppins" w:eastAsia="Calibri" w:hAnsi="Poppins" w:cs="Poppins"/>
            <w:sz w:val="20"/>
            <w:szCs w:val="20"/>
          </w:rPr>
          <w:t>Disabilities</w:t>
        </w:r>
      </w:hyperlink>
      <w:r w:rsidRPr="001237E4">
        <w:rPr>
          <w:rFonts w:ascii="Poppins" w:eastAsia="Calibri" w:hAnsi="Poppins" w:cs="Poppins"/>
          <w:sz w:val="20"/>
          <w:szCs w:val="20"/>
        </w:rPr>
        <w:t xml:space="preserve">, </w:t>
      </w:r>
      <w:hyperlink r:id="rId18" w:history="1">
        <w:r w:rsidR="001237E4" w:rsidRPr="00AB1678">
          <w:rPr>
            <w:rStyle w:val="Hyperlink"/>
            <w:rFonts w:ascii="Poppins" w:eastAsia="Calibri" w:hAnsi="Poppins" w:cs="Poppins"/>
            <w:sz w:val="20"/>
            <w:szCs w:val="20"/>
          </w:rPr>
          <w:t>the Disability Rights Education and Defense Fund</w:t>
        </w:r>
      </w:hyperlink>
      <w:r w:rsidR="001237E4" w:rsidRPr="001237E4">
        <w:rPr>
          <w:rFonts w:ascii="Poppins" w:eastAsia="Calibri" w:hAnsi="Poppins" w:cs="Poppins"/>
          <w:sz w:val="20"/>
          <w:szCs w:val="20"/>
        </w:rPr>
        <w:t xml:space="preserve">, </w:t>
      </w:r>
      <w:hyperlink r:id="rId19" w:history="1">
        <w:r w:rsidR="001237E4" w:rsidRPr="00AB1678">
          <w:rPr>
            <w:rStyle w:val="Hyperlink"/>
            <w:rFonts w:ascii="Poppins" w:eastAsia="Calibri" w:hAnsi="Poppins" w:cs="Poppins"/>
            <w:sz w:val="20"/>
            <w:szCs w:val="20"/>
          </w:rPr>
          <w:t>the Associat</w:t>
        </w:r>
        <w:r w:rsidR="00AB1678" w:rsidRPr="00AB1678">
          <w:rPr>
            <w:rStyle w:val="Hyperlink"/>
            <w:rFonts w:ascii="Poppins" w:eastAsia="Calibri" w:hAnsi="Poppins" w:cs="Poppins"/>
            <w:sz w:val="20"/>
            <w:szCs w:val="20"/>
          </w:rPr>
          <w:t>ion</w:t>
        </w:r>
        <w:r w:rsidR="001237E4" w:rsidRPr="00AB1678">
          <w:rPr>
            <w:rStyle w:val="Hyperlink"/>
            <w:rFonts w:ascii="Poppins" w:eastAsia="Calibri" w:hAnsi="Poppins" w:cs="Poppins"/>
            <w:sz w:val="20"/>
            <w:szCs w:val="20"/>
          </w:rPr>
          <w:t xml:space="preserve"> of University Centers on Development Disabilities</w:t>
        </w:r>
      </w:hyperlink>
      <w:r w:rsidR="001237E4" w:rsidRPr="001237E4">
        <w:rPr>
          <w:rFonts w:ascii="Poppins" w:eastAsia="Calibri" w:hAnsi="Poppins" w:cs="Poppins"/>
          <w:sz w:val="20"/>
          <w:szCs w:val="20"/>
        </w:rPr>
        <w:t xml:space="preserve">, and </w:t>
      </w:r>
      <w:hyperlink r:id="rId20" w:history="1">
        <w:r w:rsidR="001237E4" w:rsidRPr="00AB1678">
          <w:rPr>
            <w:rStyle w:val="Hyperlink"/>
            <w:rFonts w:ascii="Poppins" w:eastAsia="Calibri" w:hAnsi="Poppins" w:cs="Poppins"/>
            <w:sz w:val="20"/>
            <w:szCs w:val="20"/>
          </w:rPr>
          <w:t>the National Center for Independent Living</w:t>
        </w:r>
      </w:hyperlink>
      <w:r w:rsidR="001237E4" w:rsidRPr="001237E4">
        <w:rPr>
          <w:rFonts w:ascii="Poppins" w:eastAsia="Calibri" w:hAnsi="Poppins" w:cs="Poppins"/>
          <w:sz w:val="20"/>
          <w:szCs w:val="20"/>
        </w:rPr>
        <w:t xml:space="preserve"> have published statements highlighting the greater impact of reorganizing HHS. </w:t>
      </w:r>
    </w:p>
    <w:p w14:paraId="6B810149" w14:textId="3BB9538F" w:rsidR="006715C7" w:rsidRPr="006715C7" w:rsidRDefault="00F54B40" w:rsidP="006715C7">
      <w:pPr>
        <w:rPr>
          <w:b/>
          <w:bCs/>
        </w:rPr>
      </w:pPr>
      <w:r>
        <w:rPr>
          <w:rFonts w:ascii="Poppins SemiBold" w:hAnsi="Poppins SemiBold"/>
          <w:b/>
          <w:bCs/>
          <w:color w:val="4472C4" w:themeColor="accent1"/>
          <w:sz w:val="24"/>
          <w:szCs w:val="24"/>
        </w:rPr>
        <w:t xml:space="preserve">Ranking Member Sanders Releases Research on the Impact of Social Security Administration Cuts </w:t>
      </w:r>
      <w:r w:rsidR="006715C7">
        <w:rPr>
          <w:rFonts w:ascii="Poppins SemiBold" w:hAnsi="Poppins SemiBold"/>
          <w:b/>
          <w:bCs/>
          <w:color w:val="4472C4" w:themeColor="accent1"/>
          <w:sz w:val="24"/>
          <w:szCs w:val="24"/>
        </w:rPr>
        <w:t xml:space="preserve"> </w:t>
      </w:r>
    </w:p>
    <w:p w14:paraId="262F4C1B" w14:textId="0C798DB1" w:rsidR="00F54B40" w:rsidRPr="00F54B40" w:rsidRDefault="00F54B40" w:rsidP="00F54B40">
      <w:pPr>
        <w:spacing w:before="240"/>
        <w:rPr>
          <w:rFonts w:ascii="Poppins" w:eastAsia="Calibri" w:hAnsi="Poppins" w:cs="Poppins"/>
          <w:color w:val="000000" w:themeColor="text1"/>
          <w:kern w:val="0"/>
          <w:sz w:val="20"/>
          <w:szCs w:val="20"/>
          <w14:ligatures w14:val="none"/>
        </w:rPr>
      </w:pPr>
      <w:r w:rsidRPr="00F54B40">
        <w:rPr>
          <w:rFonts w:ascii="Poppins" w:eastAsia="Calibri" w:hAnsi="Poppins" w:cs="Poppins"/>
          <w:color w:val="000000" w:themeColor="text1"/>
          <w:kern w:val="0"/>
          <w:sz w:val="20"/>
          <w:szCs w:val="20"/>
          <w14:ligatures w14:val="none"/>
        </w:rPr>
        <w:t xml:space="preserve">Senator Bernie Sanders has </w:t>
      </w:r>
      <w:hyperlink r:id="rId21" w:history="1">
        <w:r w:rsidRPr="00F54B40">
          <w:rPr>
            <w:rStyle w:val="Hyperlink"/>
            <w:rFonts w:ascii="Poppins" w:eastAsia="Calibri" w:hAnsi="Poppins" w:cs="Poppins"/>
            <w:kern w:val="0"/>
            <w:sz w:val="20"/>
            <w:szCs w:val="20"/>
            <w14:ligatures w14:val="none"/>
          </w:rPr>
          <w:t>released</w:t>
        </w:r>
      </w:hyperlink>
      <w:r w:rsidRPr="00F54B40">
        <w:rPr>
          <w:rFonts w:ascii="Poppins" w:eastAsia="Calibri" w:hAnsi="Poppins" w:cs="Poppins"/>
          <w:color w:val="000000" w:themeColor="text1"/>
          <w:kern w:val="0"/>
          <w:sz w:val="20"/>
          <w:szCs w:val="20"/>
          <w14:ligatures w14:val="none"/>
        </w:rPr>
        <w:t xml:space="preserve"> </w:t>
      </w:r>
      <w:hyperlink r:id="rId22" w:history="1">
        <w:r w:rsidRPr="00F54B40">
          <w:rPr>
            <w:rStyle w:val="Hyperlink"/>
            <w:rFonts w:ascii="Poppins" w:eastAsia="Calibri" w:hAnsi="Poppins" w:cs="Poppins"/>
            <w:kern w:val="0"/>
            <w:sz w:val="20"/>
            <w:szCs w:val="20"/>
            <w14:ligatures w14:val="none"/>
          </w:rPr>
          <w:t>findings</w:t>
        </w:r>
      </w:hyperlink>
      <w:r w:rsidRPr="00F54B40">
        <w:rPr>
          <w:rFonts w:ascii="Poppins" w:eastAsia="Calibri" w:hAnsi="Poppins" w:cs="Poppins"/>
          <w:color w:val="000000" w:themeColor="text1"/>
          <w:kern w:val="0"/>
          <w:sz w:val="20"/>
          <w:szCs w:val="20"/>
          <w14:ligatures w14:val="none"/>
        </w:rPr>
        <w:t xml:space="preserve"> highlighting the consequences of Elon Musk’s proposed 50% staffing cuts to the Social Security Administration (SSA) under the Trump </w:t>
      </w:r>
      <w:r>
        <w:rPr>
          <w:rFonts w:ascii="Poppins" w:eastAsia="Calibri" w:hAnsi="Poppins" w:cs="Poppins"/>
          <w:color w:val="000000" w:themeColor="text1"/>
          <w:kern w:val="0"/>
          <w:sz w:val="20"/>
          <w:szCs w:val="20"/>
          <w14:ligatures w14:val="none"/>
        </w:rPr>
        <w:t>A</w:t>
      </w:r>
      <w:r w:rsidRPr="00F54B40">
        <w:rPr>
          <w:rFonts w:ascii="Poppins" w:eastAsia="Calibri" w:hAnsi="Poppins" w:cs="Poppins"/>
          <w:color w:val="000000" w:themeColor="text1"/>
          <w:kern w:val="0"/>
          <w:sz w:val="20"/>
          <w:szCs w:val="20"/>
          <w14:ligatures w14:val="none"/>
        </w:rPr>
        <w:t>dministration. These cuts come as SSA staffing is already at a historic low and would significantly worsen delays in processing disability claims. The number of Americans dying while waiting for disability benefits could more than double, from 30,000 in 2023 to 67,000, while average wait times could increase from 236 days to 412 days. Sanders condemned false claims that "millions" of deceased individuals receive Social Security benefits, emphasizing that the real crisis is the growing backlog and delays due to staff reductions. SSA’s workforce for disability determinations has already declined, contributing to longer processing times and a rising death toll among applicants. Sanders urged policymakers to strengthen, rather than weaken, the SSA to ensure timely access to essential benefits.</w:t>
      </w:r>
    </w:p>
    <w:p w14:paraId="609E5537" w14:textId="58932AD6" w:rsidR="00113E3B" w:rsidRPr="00113E3B" w:rsidRDefault="00F54B40" w:rsidP="00113E3B">
      <w:pPr>
        <w:spacing w:before="240"/>
        <w:rPr>
          <w:rFonts w:ascii="Poppins SemiBold" w:hAnsi="Poppins SemiBold" w:cs="Poppins SemiBold"/>
          <w:noProof/>
          <w:sz w:val="32"/>
          <w:szCs w:val="32"/>
        </w:rPr>
      </w:pPr>
      <w:r>
        <w:rPr>
          <w:rFonts w:ascii="Poppins SemiBold" w:hAnsi="Poppins SemiBold"/>
          <w:b/>
          <w:bCs/>
          <w:color w:val="4472C4" w:themeColor="accent1"/>
          <w:sz w:val="24"/>
          <w:szCs w:val="24"/>
        </w:rPr>
        <w:t xml:space="preserve">NPR Highlights Impact of HHS Layoffs on Seniors and Disabled Populations </w:t>
      </w:r>
      <w:r w:rsidR="00113E3B">
        <w:rPr>
          <w:rFonts w:ascii="Poppins SemiBold" w:hAnsi="Poppins SemiBold"/>
          <w:b/>
          <w:bCs/>
          <w:color w:val="4472C4" w:themeColor="accent1"/>
          <w:sz w:val="24"/>
          <w:szCs w:val="24"/>
        </w:rPr>
        <w:t xml:space="preserve"> </w:t>
      </w:r>
    </w:p>
    <w:p w14:paraId="5F2B1705" w14:textId="6916AA2D" w:rsidR="00F54B40" w:rsidRPr="00F54B40" w:rsidRDefault="00F54B40" w:rsidP="00F54B40">
      <w:pPr>
        <w:spacing w:before="120" w:after="120"/>
        <w:rPr>
          <w:rFonts w:ascii="Poppins" w:hAnsi="Poppins" w:cs="Poppins"/>
          <w:sz w:val="20"/>
          <w:szCs w:val="20"/>
        </w:rPr>
      </w:pPr>
      <w:r w:rsidRPr="00F54B40">
        <w:rPr>
          <w:rFonts w:ascii="Poppins" w:hAnsi="Poppins" w:cs="Poppins"/>
          <w:sz w:val="20"/>
          <w:szCs w:val="20"/>
        </w:rPr>
        <w:t xml:space="preserve">Recent layoffs at the Department of Health and Human Services (HHS) have severely </w:t>
      </w:r>
      <w:hyperlink r:id="rId23" w:history="1">
        <w:r w:rsidRPr="00F54B40">
          <w:rPr>
            <w:rStyle w:val="Hyperlink"/>
            <w:rFonts w:ascii="Poppins" w:hAnsi="Poppins" w:cs="Poppins"/>
            <w:sz w:val="20"/>
            <w:szCs w:val="20"/>
          </w:rPr>
          <w:t>impacted</w:t>
        </w:r>
      </w:hyperlink>
      <w:r w:rsidRPr="00F54B40">
        <w:rPr>
          <w:rFonts w:ascii="Poppins" w:hAnsi="Poppins" w:cs="Poppins"/>
          <w:sz w:val="20"/>
          <w:szCs w:val="20"/>
        </w:rPr>
        <w:t xml:space="preserve"> programs serving seniors and people with disabilities, including Meals on Wheels and other critical services. The Administration for Community Living (ACL), which oversees aging and disability programs, saw at least 40% of its staff laid off, raising concerns about the future of these initiatives. The cuts also eliminated the entire staff of the Division of Energy Assistance, putting the Low-Income Home Energy Assistance Program (LIHEAP) at risk, which helps millions of low-income </w:t>
      </w:r>
      <w:proofErr w:type="gramStart"/>
      <w:r w:rsidRPr="00F54B40">
        <w:rPr>
          <w:rFonts w:ascii="Poppins" w:hAnsi="Poppins" w:cs="Poppins"/>
          <w:sz w:val="20"/>
          <w:szCs w:val="20"/>
        </w:rPr>
        <w:t>households—</w:t>
      </w:r>
      <w:proofErr w:type="gramEnd"/>
      <w:r w:rsidRPr="00F54B40">
        <w:rPr>
          <w:rFonts w:ascii="Poppins" w:hAnsi="Poppins" w:cs="Poppins"/>
          <w:sz w:val="20"/>
          <w:szCs w:val="20"/>
        </w:rPr>
        <w:t>including those relying on medical devices—afford heating and electricity. Experts warn that these reductions will directly harm vulnerable populations by disrupting essential food, housing, and medical support services. With no clear plan for sustaining these programs, millions of disabled and elderly individuals face uncertainty and potential hardship.</w:t>
      </w:r>
    </w:p>
    <w:p w14:paraId="73069108" w14:textId="56359FEC" w:rsidR="006715C7" w:rsidRDefault="000E51E3" w:rsidP="7B84623B">
      <w:pPr>
        <w:spacing w:before="120" w:after="120"/>
        <w:rPr>
          <w:rFonts w:ascii="Poppins SemiBold" w:hAnsi="Poppins SemiBold"/>
          <w:b/>
          <w:bCs/>
          <w:color w:val="4472C4" w:themeColor="accent1"/>
          <w:sz w:val="24"/>
          <w:szCs w:val="24"/>
        </w:rPr>
      </w:pPr>
      <w:r>
        <w:rPr>
          <w:rFonts w:ascii="Poppins SemiBold" w:hAnsi="Poppins SemiBold"/>
          <w:b/>
          <w:bCs/>
          <w:color w:val="4472C4" w:themeColor="accent1"/>
          <w:sz w:val="24"/>
          <w:szCs w:val="24"/>
        </w:rPr>
        <w:t xml:space="preserve">Federal Employee Union Sues Trump Administration to Block Order Ending Collective Bargaining Rights </w:t>
      </w:r>
    </w:p>
    <w:p w14:paraId="0A4AF6B8" w14:textId="77777777" w:rsidR="000E51E3" w:rsidRPr="000E51E3" w:rsidRDefault="000E51E3" w:rsidP="000E51E3">
      <w:pPr>
        <w:rPr>
          <w:rFonts w:ascii="Poppins" w:hAnsi="Poppins" w:cs="Poppins"/>
          <w:sz w:val="20"/>
          <w:szCs w:val="20"/>
        </w:rPr>
      </w:pPr>
      <w:r w:rsidRPr="000E51E3">
        <w:rPr>
          <w:rFonts w:ascii="Poppins" w:hAnsi="Poppins" w:cs="Poppins"/>
          <w:sz w:val="20"/>
          <w:szCs w:val="20"/>
        </w:rPr>
        <w:lastRenderedPageBreak/>
        <w:t xml:space="preserve">The National Treasury Employees Union (NTEU) </w:t>
      </w:r>
      <w:hyperlink r:id="rId24" w:history="1">
        <w:r w:rsidRPr="000E51E3">
          <w:rPr>
            <w:rStyle w:val="Hyperlink"/>
            <w:rFonts w:ascii="Poppins" w:hAnsi="Poppins" w:cs="Poppins"/>
            <w:sz w:val="20"/>
            <w:szCs w:val="20"/>
          </w:rPr>
          <w:t>filed a lawsuit</w:t>
        </w:r>
      </w:hyperlink>
      <w:r w:rsidRPr="000E51E3">
        <w:rPr>
          <w:rFonts w:ascii="Poppins" w:hAnsi="Poppins" w:cs="Poppins"/>
          <w:sz w:val="20"/>
          <w:szCs w:val="20"/>
        </w:rPr>
        <w:t xml:space="preserve"> against the Trump Administration today after President Trump signed an executive order that effectively strips employees at 18 departments of their right to collectively bargain. In the accompanying </w:t>
      </w:r>
      <w:hyperlink r:id="rId25" w:history="1">
        <w:r w:rsidRPr="000E51E3">
          <w:rPr>
            <w:rStyle w:val="Hyperlink"/>
            <w:rFonts w:ascii="Poppins" w:hAnsi="Poppins" w:cs="Poppins"/>
            <w:sz w:val="20"/>
            <w:szCs w:val="20"/>
          </w:rPr>
          <w:t>fact sheet</w:t>
        </w:r>
      </w:hyperlink>
      <w:r w:rsidRPr="000E51E3">
        <w:rPr>
          <w:rFonts w:ascii="Poppins" w:hAnsi="Poppins" w:cs="Poppins"/>
          <w:sz w:val="20"/>
          <w:szCs w:val="20"/>
        </w:rPr>
        <w:t xml:space="preserve"> of the executive order, President Trump cited authorities granted by the Civil Service Reform Act of 1978 (CSRA) which allows the president to end collective bargaining with federal unions for national security purposes. In addition to agencies with distinct national security ties (Defense, Homeland, State, etc.), the directive also applies to all agencies within the Department of Health and Human Services (HHS), the Environmental Protection Agency (EPA)</w:t>
      </w:r>
      <w:proofErr w:type="gramStart"/>
      <w:r w:rsidRPr="000E51E3">
        <w:rPr>
          <w:rFonts w:ascii="Poppins" w:hAnsi="Poppins" w:cs="Poppins"/>
          <w:sz w:val="20"/>
          <w:szCs w:val="20"/>
        </w:rPr>
        <w:t>, the</w:t>
      </w:r>
      <w:proofErr w:type="gramEnd"/>
      <w:r w:rsidRPr="000E51E3">
        <w:rPr>
          <w:rFonts w:ascii="Poppins" w:hAnsi="Poppins" w:cs="Poppins"/>
          <w:sz w:val="20"/>
          <w:szCs w:val="20"/>
        </w:rPr>
        <w:t xml:space="preserve"> General Services Administration, among several others. The Trump Administration </w:t>
      </w:r>
      <w:hyperlink r:id="rId26" w:history="1">
        <w:r w:rsidRPr="000E51E3">
          <w:rPr>
            <w:rStyle w:val="Hyperlink"/>
            <w:rFonts w:ascii="Poppins" w:hAnsi="Poppins" w:cs="Poppins"/>
            <w:sz w:val="20"/>
            <w:szCs w:val="20"/>
          </w:rPr>
          <w:t>preemptively filed</w:t>
        </w:r>
      </w:hyperlink>
      <w:r w:rsidRPr="000E51E3">
        <w:rPr>
          <w:rFonts w:ascii="Poppins" w:hAnsi="Poppins" w:cs="Poppins"/>
          <w:sz w:val="20"/>
          <w:szCs w:val="20"/>
        </w:rPr>
        <w:t xml:space="preserve"> with a Texas district judge seeking a declaratory judgement that the President has the power to rescind collective bargaining agreements – marking the first instance where this administration entered litigation unprovoked. This executive order was announced on the heels of an </w:t>
      </w:r>
      <w:hyperlink r:id="rId27" w:history="1">
        <w:r w:rsidRPr="000E51E3">
          <w:rPr>
            <w:rStyle w:val="Hyperlink"/>
            <w:rFonts w:ascii="Poppins" w:hAnsi="Poppins" w:cs="Poppins"/>
            <w:sz w:val="20"/>
            <w:szCs w:val="20"/>
          </w:rPr>
          <w:t>announcement</w:t>
        </w:r>
      </w:hyperlink>
      <w:r w:rsidRPr="000E51E3">
        <w:rPr>
          <w:rFonts w:ascii="Poppins" w:hAnsi="Poppins" w:cs="Poppins"/>
          <w:sz w:val="20"/>
          <w:szCs w:val="20"/>
        </w:rPr>
        <w:t xml:space="preserve"> from HHS Secretary Kennedy that drastically restructured the agency and outlined plans to fire over 10,000 HHS employees.  </w:t>
      </w:r>
    </w:p>
    <w:p w14:paraId="54A60381" w14:textId="7B957E0C" w:rsidR="00715EA6" w:rsidRPr="00715EA6" w:rsidRDefault="000E51E3" w:rsidP="7B84623B">
      <w:pPr>
        <w:spacing w:before="120" w:after="120"/>
      </w:pPr>
      <w:r>
        <w:rPr>
          <w:rFonts w:ascii="Poppins SemiBold" w:hAnsi="Poppins SemiBold"/>
          <w:b/>
          <w:bCs/>
          <w:color w:val="4472C4" w:themeColor="accent1"/>
          <w:sz w:val="24"/>
          <w:szCs w:val="24"/>
        </w:rPr>
        <w:t>24 States and Territories Sue HHS Over Cancellation of $11 Billion in COVID-19 Federal Grants</w:t>
      </w:r>
    </w:p>
    <w:p w14:paraId="08590546" w14:textId="77777777" w:rsidR="000E51E3" w:rsidRPr="000E51E3" w:rsidRDefault="000E51E3" w:rsidP="000E51E3">
      <w:pPr>
        <w:rPr>
          <w:rFonts w:ascii="Poppins" w:hAnsi="Poppins" w:cs="Poppins"/>
          <w:sz w:val="20"/>
          <w:szCs w:val="20"/>
        </w:rPr>
      </w:pPr>
      <w:r w:rsidRPr="000E51E3">
        <w:rPr>
          <w:rFonts w:ascii="Poppins" w:hAnsi="Poppins" w:cs="Poppins"/>
          <w:sz w:val="20"/>
          <w:szCs w:val="20"/>
        </w:rPr>
        <w:t xml:space="preserve">The governors and attorneys general for 23 states and the District of Columbia </w:t>
      </w:r>
      <w:hyperlink r:id="rId28">
        <w:r w:rsidRPr="000E51E3">
          <w:rPr>
            <w:rStyle w:val="Hyperlink"/>
            <w:rFonts w:ascii="Poppins" w:hAnsi="Poppins" w:cs="Poppins"/>
            <w:sz w:val="20"/>
            <w:szCs w:val="20"/>
          </w:rPr>
          <w:t>filed</w:t>
        </w:r>
      </w:hyperlink>
      <w:r w:rsidRPr="000E51E3">
        <w:rPr>
          <w:rFonts w:ascii="Poppins" w:hAnsi="Poppins" w:cs="Poppins"/>
          <w:sz w:val="20"/>
          <w:szCs w:val="20"/>
        </w:rPr>
        <w:t xml:space="preserve"> a </w:t>
      </w:r>
      <w:hyperlink r:id="rId29">
        <w:r w:rsidRPr="000E51E3">
          <w:rPr>
            <w:rStyle w:val="Hyperlink"/>
            <w:rFonts w:ascii="Poppins" w:hAnsi="Poppins" w:cs="Poppins"/>
            <w:sz w:val="20"/>
            <w:szCs w:val="20"/>
          </w:rPr>
          <w:t>law suit</w:t>
        </w:r>
      </w:hyperlink>
      <w:r w:rsidRPr="000E51E3">
        <w:rPr>
          <w:rFonts w:ascii="Poppins" w:hAnsi="Poppins" w:cs="Poppins"/>
          <w:sz w:val="20"/>
          <w:szCs w:val="20"/>
        </w:rPr>
        <w:t xml:space="preserve"> today against Department of Health and Human Services (HHS) Secretary Robert F. Kennedy Jr. in response to last week’s announcement of the cancellation of COVID-19 federal grants. The plaintiff states argue HHS violated the </w:t>
      </w:r>
      <w:hyperlink r:id="rId30">
        <w:r w:rsidRPr="000E51E3">
          <w:rPr>
            <w:rStyle w:val="Hyperlink"/>
            <w:rFonts w:ascii="Poppins" w:hAnsi="Poppins" w:cs="Poppins"/>
            <w:sz w:val="20"/>
            <w:szCs w:val="20"/>
          </w:rPr>
          <w:t>Administrative Procedure Act</w:t>
        </w:r>
      </w:hyperlink>
      <w:r w:rsidRPr="000E51E3">
        <w:rPr>
          <w:rFonts w:ascii="Poppins" w:hAnsi="Poppins" w:cs="Poppins"/>
          <w:sz w:val="20"/>
          <w:szCs w:val="20"/>
        </w:rPr>
        <w:t xml:space="preserve"> and does not have unilateral authority to cancel federal funds that public health programs were built upon. The $11 billion in grant funds were used to track, prevent, and control infectious diseases, including measles and bird flu, as well as track mental health services and fund addiction treatment. If the funding cancellation is upheld, plaintiff states are concerned that programs and initiatives to address ongoing and emerging public health needs will need to be dissolved or disbanded. In the suit, the states requested the United States District Court for the District of Rhode Island issue an Emergency Temporary Restraining Order (TRO) while considering injunctive relief. HHS has 14 days to submit a response to the suit.</w:t>
      </w:r>
    </w:p>
    <w:p w14:paraId="2020A32D" w14:textId="098CEA11" w:rsidR="00D016B5" w:rsidRDefault="7B84623B" w:rsidP="7B84623B">
      <w:pPr>
        <w:spacing w:after="240"/>
      </w:pPr>
      <w:r w:rsidRPr="001237E4">
        <w:rPr>
          <w:rFonts w:ascii="Poppins SemiBold" w:hAnsi="Poppins SemiBold"/>
          <w:b/>
          <w:bCs/>
          <w:color w:val="4472C4" w:themeColor="accent1"/>
          <w:sz w:val="32"/>
          <w:szCs w:val="32"/>
        </w:rPr>
        <w:t>What's on Tap</w:t>
      </w:r>
    </w:p>
    <w:p w14:paraId="7C672D4F" w14:textId="77777777" w:rsidR="008372ED" w:rsidRDefault="008372ED" w:rsidP="008372ED">
      <w:pPr>
        <w:spacing w:after="0" w:line="276" w:lineRule="auto"/>
        <w:rPr>
          <w:rFonts w:ascii="Poppins" w:eastAsia="Calibri" w:hAnsi="Poppins" w:cs="Poppins"/>
          <w:sz w:val="20"/>
          <w:szCs w:val="20"/>
        </w:rPr>
      </w:pPr>
      <w:r w:rsidRPr="008372ED">
        <w:rPr>
          <w:rFonts w:ascii="Poppins" w:eastAsia="Calibri" w:hAnsi="Poppins" w:cs="Poppins"/>
          <w:sz w:val="20"/>
          <w:szCs w:val="20"/>
        </w:rPr>
        <w:t xml:space="preserve">Over the weekend, it was revealed that Senate Republicans will </w:t>
      </w:r>
      <w:hyperlink r:id="rId31" w:history="1">
        <w:r w:rsidRPr="008372ED">
          <w:rPr>
            <w:rStyle w:val="Hyperlink"/>
            <w:rFonts w:ascii="Poppins" w:eastAsia="Calibri" w:hAnsi="Poppins" w:cs="Poppins"/>
            <w:sz w:val="20"/>
            <w:szCs w:val="20"/>
          </w:rPr>
          <w:t>move as soon as Thursday</w:t>
        </w:r>
      </w:hyperlink>
      <w:r w:rsidRPr="008372ED">
        <w:rPr>
          <w:rFonts w:ascii="Poppins" w:eastAsia="Calibri" w:hAnsi="Poppins" w:cs="Poppins"/>
          <w:sz w:val="20"/>
          <w:szCs w:val="20"/>
        </w:rPr>
        <w:t xml:space="preserve"> to begin advancing the chamber’s budget plan. Reporting indicates that Senate Majority Leader John Thune (R-SD) is aiming to adopt a budget resolution before the end of the week, which would likely necessitate a marathon vote-a-</w:t>
      </w:r>
      <w:proofErr w:type="spellStart"/>
      <w:r w:rsidRPr="008372ED">
        <w:rPr>
          <w:rFonts w:ascii="Poppins" w:eastAsia="Calibri" w:hAnsi="Poppins" w:cs="Poppins"/>
          <w:sz w:val="20"/>
          <w:szCs w:val="20"/>
        </w:rPr>
        <w:t>rama</w:t>
      </w:r>
      <w:proofErr w:type="spellEnd"/>
      <w:r w:rsidRPr="008372ED">
        <w:rPr>
          <w:rFonts w:ascii="Poppins" w:eastAsia="Calibri" w:hAnsi="Poppins" w:cs="Poppins"/>
          <w:sz w:val="20"/>
          <w:szCs w:val="20"/>
        </w:rPr>
        <w:t xml:space="preserve"> on Thursday. The potential vote later this week represents a significant step in the budget reconciliation process, a vehicle that the GOP intends to utilize to advance President Trump’s agenda. Senate Republicans are currently awaiting a ruling from the Senate parliamentarian on whether they can use the </w:t>
      </w:r>
      <w:r w:rsidRPr="008372ED">
        <w:rPr>
          <w:rFonts w:ascii="Poppins" w:eastAsia="Calibri" w:hAnsi="Poppins" w:cs="Poppins"/>
          <w:sz w:val="20"/>
          <w:szCs w:val="20"/>
        </w:rPr>
        <w:lastRenderedPageBreak/>
        <w:t xml:space="preserve">current policy baseline in the reconciliation process, which would effectively make the President’s 2017 tax cuts permanent without adding to the deficit. Regardless of the parliamentarian’s ruling, Republican leaders in each chamber will have to persuade several GOP fiscal hawks to support the measure </w:t>
      </w:r>
      <w:proofErr w:type="gramStart"/>
      <w:r w:rsidRPr="008372ED">
        <w:rPr>
          <w:rFonts w:ascii="Poppins" w:eastAsia="Calibri" w:hAnsi="Poppins" w:cs="Poppins"/>
          <w:sz w:val="20"/>
          <w:szCs w:val="20"/>
        </w:rPr>
        <w:t>in order to</w:t>
      </w:r>
      <w:proofErr w:type="gramEnd"/>
      <w:r w:rsidRPr="008372ED">
        <w:rPr>
          <w:rFonts w:ascii="Poppins" w:eastAsia="Calibri" w:hAnsi="Poppins" w:cs="Poppins"/>
          <w:sz w:val="20"/>
          <w:szCs w:val="20"/>
        </w:rPr>
        <w:t xml:space="preserve"> advance the compromise budget. </w:t>
      </w:r>
    </w:p>
    <w:p w14:paraId="1DA53B17" w14:textId="77777777" w:rsidR="001237E4" w:rsidRDefault="001237E4" w:rsidP="001237E4">
      <w:pPr>
        <w:spacing w:after="0"/>
        <w:rPr>
          <w:rFonts w:ascii="Calibri" w:eastAsia="Calibri" w:hAnsi="Calibri" w:cs="Calibri"/>
        </w:rPr>
      </w:pPr>
    </w:p>
    <w:p w14:paraId="50BBC18D" w14:textId="6C9A867F" w:rsidR="001237E4" w:rsidRPr="001237E4" w:rsidRDefault="001237E4" w:rsidP="001237E4">
      <w:pPr>
        <w:spacing w:after="0"/>
        <w:rPr>
          <w:rFonts w:ascii="Poppins" w:eastAsia="Calibri" w:hAnsi="Poppins" w:cs="Poppins"/>
          <w:sz w:val="20"/>
          <w:szCs w:val="20"/>
        </w:rPr>
      </w:pPr>
      <w:r w:rsidRPr="001237E4">
        <w:rPr>
          <w:rFonts w:ascii="Poppins" w:eastAsia="Calibri" w:hAnsi="Poppins" w:cs="Poppins"/>
          <w:sz w:val="20"/>
          <w:szCs w:val="20"/>
        </w:rPr>
        <w:t xml:space="preserve">The Senate </w:t>
      </w:r>
      <w:hyperlink r:id="rId32" w:history="1">
        <w:r w:rsidRPr="001237E4">
          <w:rPr>
            <w:rStyle w:val="Hyperlink"/>
            <w:rFonts w:ascii="Poppins" w:eastAsia="Calibri" w:hAnsi="Poppins" w:cs="Poppins"/>
            <w:sz w:val="20"/>
            <w:szCs w:val="20"/>
          </w:rPr>
          <w:t>approved</w:t>
        </w:r>
      </w:hyperlink>
      <w:r w:rsidRPr="001237E4">
        <w:rPr>
          <w:rFonts w:ascii="Poppins" w:eastAsia="Calibri" w:hAnsi="Poppins" w:cs="Poppins"/>
          <w:sz w:val="20"/>
          <w:szCs w:val="20"/>
        </w:rPr>
        <w:t xml:space="preserve"> a compromise version of the budget resolution early on Friday morning last week, following the House adopting its own blueprint in February. Republican leadership is aiming to pass the measure in the House by the end of this week, ahead of the two-week recess but are already facing pushback from some GOP fiscal hawks. Conservative members of the House have voiced their concern with the </w:t>
      </w:r>
      <w:r w:rsidRPr="001237E4">
        <w:rPr>
          <w:rFonts w:ascii="Poppins" w:eastAsia="Calibri" w:hAnsi="Poppins" w:cs="Poppins"/>
          <w:sz w:val="20"/>
          <w:szCs w:val="20"/>
        </w:rPr>
        <w:t>Senate</w:t>
      </w:r>
      <w:r w:rsidRPr="001237E4">
        <w:rPr>
          <w:rFonts w:ascii="Poppins" w:eastAsia="Calibri" w:hAnsi="Poppins" w:cs="Poppins"/>
          <w:sz w:val="20"/>
          <w:szCs w:val="20"/>
        </w:rPr>
        <w:t xml:space="preserve"> budget resolution because it set a substantially lower minimum for cuts than the House version. The House version of the legislation called for $1.5-2 trillion in cuts, compared to only $4 billion on the Senate side. Speaker Mike Johnson (R-LA) and House leadership pleaded with GOP hardliners in a </w:t>
      </w:r>
      <w:hyperlink r:id="rId33" w:history="1">
        <w:r w:rsidRPr="001237E4">
          <w:rPr>
            <w:rStyle w:val="Hyperlink"/>
            <w:rFonts w:ascii="Poppins" w:eastAsia="Calibri" w:hAnsi="Poppins" w:cs="Poppins"/>
            <w:sz w:val="20"/>
            <w:szCs w:val="20"/>
          </w:rPr>
          <w:t>“Dear Colleague” letter</w:t>
        </w:r>
      </w:hyperlink>
      <w:r w:rsidRPr="001237E4">
        <w:rPr>
          <w:rFonts w:ascii="Poppins" w:eastAsia="Calibri" w:hAnsi="Poppins" w:cs="Poppins"/>
          <w:sz w:val="20"/>
          <w:szCs w:val="20"/>
        </w:rPr>
        <w:t xml:space="preserve"> sent to members over the weekend, emphasizing that differences between the chambers’ instructions on cuts do not prevent budget hawks from achieving their desired spendings reductions. The advancement of the budget resolution will begin the process of producing the President’s “big, beautiful bill”, focusing on tax cuts, energy policy and border security. Although the passing of the budget resolution represents a major progression in the reconciliation process, it is not expected to be finalized until possibly the end of the summer. </w:t>
      </w:r>
    </w:p>
    <w:p w14:paraId="0931B5B8" w14:textId="1A6A55B8" w:rsidR="00D016B5" w:rsidRPr="008372ED" w:rsidRDefault="00CC201D" w:rsidP="008372ED">
      <w:pPr>
        <w:spacing w:after="0" w:line="276" w:lineRule="auto"/>
        <w:rPr>
          <w:rFonts w:ascii="Poppins" w:eastAsia="Calibri" w:hAnsi="Poppins" w:cs="Poppins"/>
          <w:sz w:val="20"/>
          <w:szCs w:val="20"/>
        </w:rPr>
      </w:pPr>
      <w:r>
        <w:br/>
      </w:r>
      <w:r w:rsidR="7B84623B" w:rsidRPr="7B84623B">
        <w:rPr>
          <w:rFonts w:ascii="Poppins SemiBold" w:hAnsi="Poppins SemiBold"/>
          <w:b/>
          <w:bCs/>
          <w:color w:val="4472C4" w:themeColor="accent1"/>
          <w:sz w:val="32"/>
          <w:szCs w:val="32"/>
        </w:rPr>
        <w:t>Upcoming Events</w:t>
      </w:r>
    </w:p>
    <w:p w14:paraId="04D76D9E" w14:textId="09F5A753" w:rsidR="7B84623B" w:rsidRPr="00AB1678" w:rsidRDefault="00AB1678" w:rsidP="00AB1678">
      <w:pPr>
        <w:pStyle w:val="ListParagraph"/>
        <w:numPr>
          <w:ilvl w:val="0"/>
          <w:numId w:val="4"/>
        </w:numPr>
        <w:spacing w:before="240" w:after="240"/>
        <w:rPr>
          <w:rFonts w:ascii="Poppins" w:hAnsi="Poppins" w:cs="Poppins"/>
          <w:b/>
          <w:bCs/>
          <w:color w:val="000000" w:themeColor="text1"/>
          <w:sz w:val="32"/>
          <w:szCs w:val="32"/>
        </w:rPr>
      </w:pPr>
      <w:r w:rsidRPr="00AB1678">
        <w:rPr>
          <w:rFonts w:ascii="Poppins" w:hAnsi="Poppins" w:cs="Poppins"/>
          <w:color w:val="000000" w:themeColor="text1"/>
          <w:sz w:val="20"/>
          <w:szCs w:val="20"/>
        </w:rPr>
        <w:t xml:space="preserve">The National Disability Rights Network will </w:t>
      </w:r>
      <w:hyperlink r:id="rId34" w:history="1">
        <w:r w:rsidRPr="00AB1678">
          <w:rPr>
            <w:rStyle w:val="Hyperlink"/>
            <w:rFonts w:ascii="Poppins" w:hAnsi="Poppins" w:cs="Poppins"/>
            <w:sz w:val="20"/>
            <w:szCs w:val="20"/>
          </w:rPr>
          <w:t>hold</w:t>
        </w:r>
      </w:hyperlink>
      <w:r w:rsidRPr="00AB1678">
        <w:rPr>
          <w:rFonts w:ascii="Poppins" w:hAnsi="Poppins" w:cs="Poppins"/>
          <w:color w:val="4472C4" w:themeColor="accent1"/>
          <w:sz w:val="20"/>
          <w:szCs w:val="20"/>
        </w:rPr>
        <w:t xml:space="preserve"> </w:t>
      </w:r>
      <w:r w:rsidRPr="00AB1678">
        <w:rPr>
          <w:rFonts w:ascii="Poppins" w:hAnsi="Poppins" w:cs="Poppins"/>
          <w:color w:val="000000" w:themeColor="text1"/>
          <w:sz w:val="20"/>
          <w:szCs w:val="20"/>
        </w:rPr>
        <w:t>the National Disability Rights Annual Conference on June 2-5, 2025.</w:t>
      </w:r>
      <w:r w:rsidRPr="00AB1678">
        <w:rPr>
          <w:rFonts w:ascii="Poppins" w:hAnsi="Poppins" w:cs="Poppins"/>
          <w:color w:val="000000" w:themeColor="text1"/>
          <w:sz w:val="24"/>
          <w:szCs w:val="24"/>
        </w:rPr>
        <w:t xml:space="preserve"> </w:t>
      </w:r>
    </w:p>
    <w:sectPr w:rsidR="7B84623B" w:rsidRPr="00AB1678">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8E8F4" w14:textId="77777777" w:rsidR="00B13BBE" w:rsidRDefault="00B13BBE" w:rsidP="00715EA6">
      <w:pPr>
        <w:spacing w:after="0" w:line="240" w:lineRule="auto"/>
      </w:pPr>
      <w:r>
        <w:separator/>
      </w:r>
    </w:p>
  </w:endnote>
  <w:endnote w:type="continuationSeparator" w:id="0">
    <w:p w14:paraId="79E4AA09" w14:textId="77777777" w:rsidR="00B13BBE" w:rsidRDefault="00B13BBE"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9F78A" id="Rectangle 2" o:spid="_x0000_s1026"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fillcolor="#0e6eb6" stroked="f" strokeweight="1pt">
              <v:fill opacity="39321f"/>
              <v:textbo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4B3EE" w14:textId="77777777" w:rsidR="00B13BBE" w:rsidRDefault="00B13BBE" w:rsidP="00715EA6">
      <w:pPr>
        <w:spacing w:after="0" w:line="240" w:lineRule="auto"/>
      </w:pPr>
      <w:r>
        <w:separator/>
      </w:r>
    </w:p>
  </w:footnote>
  <w:footnote w:type="continuationSeparator" w:id="0">
    <w:p w14:paraId="2E3A39E3" w14:textId="77777777" w:rsidR="00B13BBE" w:rsidRDefault="00B13BBE" w:rsidP="00715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40A9A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EE43845"/>
    <w:multiLevelType w:val="multilevel"/>
    <w:tmpl w:val="BBF07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B20422"/>
    <w:multiLevelType w:val="hybridMultilevel"/>
    <w:tmpl w:val="64220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F468B7"/>
    <w:multiLevelType w:val="hybridMultilevel"/>
    <w:tmpl w:val="37F415C6"/>
    <w:lvl w:ilvl="0" w:tplc="96E2DDD0">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0285155">
    <w:abstractNumId w:val="0"/>
  </w:num>
  <w:num w:numId="2" w16cid:durableId="638345425">
    <w:abstractNumId w:val="2"/>
  </w:num>
  <w:num w:numId="3" w16cid:durableId="1839224054">
    <w:abstractNumId w:val="1"/>
  </w:num>
  <w:num w:numId="4" w16cid:durableId="4514432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017BAB"/>
    <w:rsid w:val="00034199"/>
    <w:rsid w:val="00062BBF"/>
    <w:rsid w:val="00091860"/>
    <w:rsid w:val="00097055"/>
    <w:rsid w:val="000A796F"/>
    <w:rsid w:val="000B5324"/>
    <w:rsid w:val="000E51E3"/>
    <w:rsid w:val="000F21F7"/>
    <w:rsid w:val="00111DB8"/>
    <w:rsid w:val="00113E3B"/>
    <w:rsid w:val="0012278F"/>
    <w:rsid w:val="001237E4"/>
    <w:rsid w:val="001257AA"/>
    <w:rsid w:val="00130827"/>
    <w:rsid w:val="00140A74"/>
    <w:rsid w:val="00141900"/>
    <w:rsid w:val="001721D8"/>
    <w:rsid w:val="001734D6"/>
    <w:rsid w:val="00176658"/>
    <w:rsid w:val="001835D1"/>
    <w:rsid w:val="001B63DC"/>
    <w:rsid w:val="001C400E"/>
    <w:rsid w:val="001D2B4D"/>
    <w:rsid w:val="001D6116"/>
    <w:rsid w:val="001F34F9"/>
    <w:rsid w:val="001F767B"/>
    <w:rsid w:val="002018BF"/>
    <w:rsid w:val="002052B5"/>
    <w:rsid w:val="00210B2B"/>
    <w:rsid w:val="00213505"/>
    <w:rsid w:val="00220C44"/>
    <w:rsid w:val="002356F3"/>
    <w:rsid w:val="00236A3B"/>
    <w:rsid w:val="00244353"/>
    <w:rsid w:val="00245D08"/>
    <w:rsid w:val="00246A46"/>
    <w:rsid w:val="00276092"/>
    <w:rsid w:val="0028591A"/>
    <w:rsid w:val="002942FD"/>
    <w:rsid w:val="002B0855"/>
    <w:rsid w:val="002D0FB5"/>
    <w:rsid w:val="00324296"/>
    <w:rsid w:val="00336C9D"/>
    <w:rsid w:val="00337D58"/>
    <w:rsid w:val="003448C6"/>
    <w:rsid w:val="00345AF4"/>
    <w:rsid w:val="003474B7"/>
    <w:rsid w:val="00355038"/>
    <w:rsid w:val="0037249C"/>
    <w:rsid w:val="00381B9B"/>
    <w:rsid w:val="003C6CDF"/>
    <w:rsid w:val="003C72BE"/>
    <w:rsid w:val="003D62A4"/>
    <w:rsid w:val="003F4BDF"/>
    <w:rsid w:val="0040082A"/>
    <w:rsid w:val="00416478"/>
    <w:rsid w:val="004327FB"/>
    <w:rsid w:val="00434C24"/>
    <w:rsid w:val="00435BA1"/>
    <w:rsid w:val="004675E9"/>
    <w:rsid w:val="00471CB9"/>
    <w:rsid w:val="0049107E"/>
    <w:rsid w:val="0049773F"/>
    <w:rsid w:val="004A3EBF"/>
    <w:rsid w:val="004B4E99"/>
    <w:rsid w:val="004B57D8"/>
    <w:rsid w:val="004E3CBB"/>
    <w:rsid w:val="004F23F4"/>
    <w:rsid w:val="004F2FBE"/>
    <w:rsid w:val="005003C4"/>
    <w:rsid w:val="005278B9"/>
    <w:rsid w:val="0053438E"/>
    <w:rsid w:val="0054097F"/>
    <w:rsid w:val="005535CB"/>
    <w:rsid w:val="00553DFF"/>
    <w:rsid w:val="00554871"/>
    <w:rsid w:val="005A172D"/>
    <w:rsid w:val="005A233D"/>
    <w:rsid w:val="005C2147"/>
    <w:rsid w:val="005D0658"/>
    <w:rsid w:val="005D097B"/>
    <w:rsid w:val="005F5B9D"/>
    <w:rsid w:val="00605358"/>
    <w:rsid w:val="00613FBE"/>
    <w:rsid w:val="00623D14"/>
    <w:rsid w:val="00642EEA"/>
    <w:rsid w:val="0064706D"/>
    <w:rsid w:val="0066003E"/>
    <w:rsid w:val="006715C7"/>
    <w:rsid w:val="00675564"/>
    <w:rsid w:val="006854AC"/>
    <w:rsid w:val="00694E16"/>
    <w:rsid w:val="006B1BFC"/>
    <w:rsid w:val="006B7A2C"/>
    <w:rsid w:val="006E0428"/>
    <w:rsid w:val="006E7A32"/>
    <w:rsid w:val="006F53BA"/>
    <w:rsid w:val="00705432"/>
    <w:rsid w:val="00715EA6"/>
    <w:rsid w:val="00720B00"/>
    <w:rsid w:val="00724273"/>
    <w:rsid w:val="0072602A"/>
    <w:rsid w:val="007261E1"/>
    <w:rsid w:val="00747AAF"/>
    <w:rsid w:val="00762782"/>
    <w:rsid w:val="00767977"/>
    <w:rsid w:val="00774DFD"/>
    <w:rsid w:val="00781F08"/>
    <w:rsid w:val="00786A43"/>
    <w:rsid w:val="0079195E"/>
    <w:rsid w:val="007A0176"/>
    <w:rsid w:val="007B0E9E"/>
    <w:rsid w:val="007C4248"/>
    <w:rsid w:val="007C6668"/>
    <w:rsid w:val="00803560"/>
    <w:rsid w:val="00812500"/>
    <w:rsid w:val="00822E49"/>
    <w:rsid w:val="00824BC6"/>
    <w:rsid w:val="008276BD"/>
    <w:rsid w:val="00834A40"/>
    <w:rsid w:val="008372ED"/>
    <w:rsid w:val="00845C04"/>
    <w:rsid w:val="008460FB"/>
    <w:rsid w:val="008558FF"/>
    <w:rsid w:val="008812DB"/>
    <w:rsid w:val="0089723C"/>
    <w:rsid w:val="008B1ECB"/>
    <w:rsid w:val="008B3F9C"/>
    <w:rsid w:val="008C4A57"/>
    <w:rsid w:val="008D7FC3"/>
    <w:rsid w:val="008E4ED7"/>
    <w:rsid w:val="008F26B8"/>
    <w:rsid w:val="008F3411"/>
    <w:rsid w:val="00901B59"/>
    <w:rsid w:val="00901E04"/>
    <w:rsid w:val="00906FE2"/>
    <w:rsid w:val="00910DF2"/>
    <w:rsid w:val="00915B7D"/>
    <w:rsid w:val="00957FD6"/>
    <w:rsid w:val="00962D16"/>
    <w:rsid w:val="00993666"/>
    <w:rsid w:val="009B4401"/>
    <w:rsid w:val="009F3D69"/>
    <w:rsid w:val="00A16BAD"/>
    <w:rsid w:val="00A16C6E"/>
    <w:rsid w:val="00A21BAF"/>
    <w:rsid w:val="00A26CD5"/>
    <w:rsid w:val="00A44459"/>
    <w:rsid w:val="00A52122"/>
    <w:rsid w:val="00A658AD"/>
    <w:rsid w:val="00A70A16"/>
    <w:rsid w:val="00A7138F"/>
    <w:rsid w:val="00A76DD2"/>
    <w:rsid w:val="00A8025B"/>
    <w:rsid w:val="00A97CA4"/>
    <w:rsid w:val="00AA36C0"/>
    <w:rsid w:val="00AB1678"/>
    <w:rsid w:val="00AB4A6E"/>
    <w:rsid w:val="00AC31CE"/>
    <w:rsid w:val="00AD12EB"/>
    <w:rsid w:val="00AD2ACD"/>
    <w:rsid w:val="00AD4122"/>
    <w:rsid w:val="00AF656B"/>
    <w:rsid w:val="00B0051B"/>
    <w:rsid w:val="00B13BBE"/>
    <w:rsid w:val="00B13E56"/>
    <w:rsid w:val="00B14C2D"/>
    <w:rsid w:val="00B15895"/>
    <w:rsid w:val="00B167B2"/>
    <w:rsid w:val="00B273D6"/>
    <w:rsid w:val="00B3108D"/>
    <w:rsid w:val="00B449C7"/>
    <w:rsid w:val="00B4747E"/>
    <w:rsid w:val="00B52AD4"/>
    <w:rsid w:val="00B55430"/>
    <w:rsid w:val="00B55966"/>
    <w:rsid w:val="00B704F7"/>
    <w:rsid w:val="00B7556D"/>
    <w:rsid w:val="00B82D26"/>
    <w:rsid w:val="00B92207"/>
    <w:rsid w:val="00B92CD4"/>
    <w:rsid w:val="00BA5197"/>
    <w:rsid w:val="00BA5CB0"/>
    <w:rsid w:val="00BE403E"/>
    <w:rsid w:val="00BF159B"/>
    <w:rsid w:val="00BF17BA"/>
    <w:rsid w:val="00BF3E24"/>
    <w:rsid w:val="00C1085D"/>
    <w:rsid w:val="00C21B58"/>
    <w:rsid w:val="00C506D0"/>
    <w:rsid w:val="00C51B2D"/>
    <w:rsid w:val="00C55683"/>
    <w:rsid w:val="00C75211"/>
    <w:rsid w:val="00C90CF6"/>
    <w:rsid w:val="00C95D2C"/>
    <w:rsid w:val="00C969C9"/>
    <w:rsid w:val="00CC201D"/>
    <w:rsid w:val="00CC3E79"/>
    <w:rsid w:val="00CF006A"/>
    <w:rsid w:val="00CF3379"/>
    <w:rsid w:val="00D016B5"/>
    <w:rsid w:val="00D04A4D"/>
    <w:rsid w:val="00D057FF"/>
    <w:rsid w:val="00D149DE"/>
    <w:rsid w:val="00D14A7B"/>
    <w:rsid w:val="00D22140"/>
    <w:rsid w:val="00D30D9C"/>
    <w:rsid w:val="00D43E20"/>
    <w:rsid w:val="00D46A8D"/>
    <w:rsid w:val="00D51D34"/>
    <w:rsid w:val="00D74822"/>
    <w:rsid w:val="00D86473"/>
    <w:rsid w:val="00DA20DE"/>
    <w:rsid w:val="00DA66AC"/>
    <w:rsid w:val="00DB56DA"/>
    <w:rsid w:val="00DC55CA"/>
    <w:rsid w:val="00DE3DF8"/>
    <w:rsid w:val="00E01E3E"/>
    <w:rsid w:val="00E07FC7"/>
    <w:rsid w:val="00E30E4D"/>
    <w:rsid w:val="00E31E59"/>
    <w:rsid w:val="00E32CFC"/>
    <w:rsid w:val="00E431CC"/>
    <w:rsid w:val="00E6647A"/>
    <w:rsid w:val="00E9692C"/>
    <w:rsid w:val="00EA643F"/>
    <w:rsid w:val="00EB39C8"/>
    <w:rsid w:val="00EC2BEC"/>
    <w:rsid w:val="00EC6C0F"/>
    <w:rsid w:val="00ED3467"/>
    <w:rsid w:val="00ED3A6A"/>
    <w:rsid w:val="00EF4F04"/>
    <w:rsid w:val="00EF57E8"/>
    <w:rsid w:val="00EF6563"/>
    <w:rsid w:val="00F02CD5"/>
    <w:rsid w:val="00F34FB8"/>
    <w:rsid w:val="00F36CB6"/>
    <w:rsid w:val="00F54B40"/>
    <w:rsid w:val="00F56E36"/>
    <w:rsid w:val="00F7076D"/>
    <w:rsid w:val="00F70FAA"/>
    <w:rsid w:val="00F93EDF"/>
    <w:rsid w:val="00FC15E8"/>
    <w:rsid w:val="00FD1511"/>
    <w:rsid w:val="00FE354B"/>
    <w:rsid w:val="00FF7302"/>
    <w:rsid w:val="2565C836"/>
    <w:rsid w:val="2675DF95"/>
    <w:rsid w:val="3DD66EBC"/>
    <w:rsid w:val="7B846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1F607E6A-DDF2-4ED2-9637-49CB825C3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563"/>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 w:type="paragraph" w:styleId="ListBullet">
    <w:name w:val="List Bullet"/>
    <w:basedOn w:val="Normal"/>
    <w:uiPriority w:val="99"/>
    <w:unhideWhenUsed/>
    <w:rsid w:val="006715C7"/>
    <w:pPr>
      <w:numPr>
        <w:numId w:val="1"/>
      </w:numPr>
      <w:spacing w:after="200" w:line="276" w:lineRule="auto"/>
      <w:contextualSpacing/>
    </w:pPr>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438002">
      <w:bodyDiv w:val="1"/>
      <w:marLeft w:val="0"/>
      <w:marRight w:val="0"/>
      <w:marTop w:val="0"/>
      <w:marBottom w:val="0"/>
      <w:divBdr>
        <w:top w:val="none" w:sz="0" w:space="0" w:color="auto"/>
        <w:left w:val="none" w:sz="0" w:space="0" w:color="auto"/>
        <w:bottom w:val="none" w:sz="0" w:space="0" w:color="auto"/>
        <w:right w:val="none" w:sz="0" w:space="0" w:color="auto"/>
      </w:divBdr>
      <w:divsChild>
        <w:div w:id="1178543524">
          <w:marLeft w:val="0"/>
          <w:marRight w:val="0"/>
          <w:marTop w:val="0"/>
          <w:marBottom w:val="0"/>
          <w:divBdr>
            <w:top w:val="none" w:sz="0" w:space="0" w:color="auto"/>
            <w:left w:val="none" w:sz="0" w:space="0" w:color="auto"/>
            <w:bottom w:val="none" w:sz="0" w:space="0" w:color="auto"/>
            <w:right w:val="none" w:sz="0" w:space="0" w:color="auto"/>
          </w:divBdr>
          <w:divsChild>
            <w:div w:id="1047879745">
              <w:marLeft w:val="0"/>
              <w:marRight w:val="0"/>
              <w:marTop w:val="0"/>
              <w:marBottom w:val="0"/>
              <w:divBdr>
                <w:top w:val="none" w:sz="0" w:space="0" w:color="auto"/>
                <w:left w:val="none" w:sz="0" w:space="0" w:color="auto"/>
                <w:bottom w:val="none" w:sz="0" w:space="0" w:color="auto"/>
                <w:right w:val="none" w:sz="0" w:space="0" w:color="auto"/>
              </w:divBdr>
              <w:divsChild>
                <w:div w:id="1507205087">
                  <w:marLeft w:val="0"/>
                  <w:marRight w:val="0"/>
                  <w:marTop w:val="0"/>
                  <w:marBottom w:val="0"/>
                  <w:divBdr>
                    <w:top w:val="none" w:sz="0" w:space="0" w:color="auto"/>
                    <w:left w:val="none" w:sz="0" w:space="0" w:color="auto"/>
                    <w:bottom w:val="none" w:sz="0" w:space="0" w:color="auto"/>
                    <w:right w:val="none" w:sz="0" w:space="0" w:color="auto"/>
                  </w:divBdr>
                  <w:divsChild>
                    <w:div w:id="1228566498">
                      <w:marLeft w:val="0"/>
                      <w:marRight w:val="0"/>
                      <w:marTop w:val="0"/>
                      <w:marBottom w:val="0"/>
                      <w:divBdr>
                        <w:top w:val="none" w:sz="0" w:space="0" w:color="auto"/>
                        <w:left w:val="none" w:sz="0" w:space="0" w:color="auto"/>
                        <w:bottom w:val="none" w:sz="0" w:space="0" w:color="auto"/>
                        <w:right w:val="none" w:sz="0" w:space="0" w:color="auto"/>
                      </w:divBdr>
                      <w:divsChild>
                        <w:div w:id="2095976689">
                          <w:marLeft w:val="0"/>
                          <w:marRight w:val="0"/>
                          <w:marTop w:val="0"/>
                          <w:marBottom w:val="0"/>
                          <w:divBdr>
                            <w:top w:val="none" w:sz="0" w:space="0" w:color="auto"/>
                            <w:left w:val="none" w:sz="0" w:space="0" w:color="auto"/>
                            <w:bottom w:val="none" w:sz="0" w:space="0" w:color="auto"/>
                            <w:right w:val="none" w:sz="0" w:space="0" w:color="auto"/>
                          </w:divBdr>
                          <w:divsChild>
                            <w:div w:id="78792649">
                              <w:marLeft w:val="0"/>
                              <w:marRight w:val="0"/>
                              <w:marTop w:val="0"/>
                              <w:marBottom w:val="0"/>
                              <w:divBdr>
                                <w:top w:val="none" w:sz="0" w:space="0" w:color="auto"/>
                                <w:left w:val="none" w:sz="0" w:space="0" w:color="auto"/>
                                <w:bottom w:val="none" w:sz="0" w:space="0" w:color="auto"/>
                                <w:right w:val="none" w:sz="0" w:space="0" w:color="auto"/>
                              </w:divBdr>
                              <w:divsChild>
                                <w:div w:id="586382538">
                                  <w:marLeft w:val="0"/>
                                  <w:marRight w:val="0"/>
                                  <w:marTop w:val="0"/>
                                  <w:marBottom w:val="0"/>
                                  <w:divBdr>
                                    <w:top w:val="none" w:sz="0" w:space="0" w:color="auto"/>
                                    <w:left w:val="none" w:sz="0" w:space="0" w:color="auto"/>
                                    <w:bottom w:val="none" w:sz="0" w:space="0" w:color="auto"/>
                                    <w:right w:val="none" w:sz="0" w:space="0" w:color="auto"/>
                                  </w:divBdr>
                                  <w:divsChild>
                                    <w:div w:id="65891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57342">
                          <w:marLeft w:val="0"/>
                          <w:marRight w:val="0"/>
                          <w:marTop w:val="0"/>
                          <w:marBottom w:val="0"/>
                          <w:divBdr>
                            <w:top w:val="none" w:sz="0" w:space="0" w:color="auto"/>
                            <w:left w:val="none" w:sz="0" w:space="0" w:color="auto"/>
                            <w:bottom w:val="none" w:sz="0" w:space="0" w:color="auto"/>
                            <w:right w:val="none" w:sz="0" w:space="0" w:color="auto"/>
                          </w:divBdr>
                          <w:divsChild>
                            <w:div w:id="1567378272">
                              <w:marLeft w:val="0"/>
                              <w:marRight w:val="0"/>
                              <w:marTop w:val="0"/>
                              <w:marBottom w:val="0"/>
                              <w:divBdr>
                                <w:top w:val="none" w:sz="0" w:space="0" w:color="auto"/>
                                <w:left w:val="none" w:sz="0" w:space="0" w:color="auto"/>
                                <w:bottom w:val="none" w:sz="0" w:space="0" w:color="auto"/>
                                <w:right w:val="none" w:sz="0" w:space="0" w:color="auto"/>
                              </w:divBdr>
                              <w:divsChild>
                                <w:div w:id="187881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7316429">
      <w:bodyDiv w:val="1"/>
      <w:marLeft w:val="0"/>
      <w:marRight w:val="0"/>
      <w:marTop w:val="0"/>
      <w:marBottom w:val="0"/>
      <w:divBdr>
        <w:top w:val="none" w:sz="0" w:space="0" w:color="auto"/>
        <w:left w:val="none" w:sz="0" w:space="0" w:color="auto"/>
        <w:bottom w:val="none" w:sz="0" w:space="0" w:color="auto"/>
        <w:right w:val="none" w:sz="0" w:space="0" w:color="auto"/>
      </w:divBdr>
      <w:divsChild>
        <w:div w:id="284627270">
          <w:marLeft w:val="0"/>
          <w:marRight w:val="0"/>
          <w:marTop w:val="0"/>
          <w:marBottom w:val="0"/>
          <w:divBdr>
            <w:top w:val="none" w:sz="0" w:space="0" w:color="auto"/>
            <w:left w:val="none" w:sz="0" w:space="0" w:color="auto"/>
            <w:bottom w:val="none" w:sz="0" w:space="0" w:color="auto"/>
            <w:right w:val="none" w:sz="0" w:space="0" w:color="auto"/>
          </w:divBdr>
          <w:divsChild>
            <w:div w:id="1306199611">
              <w:marLeft w:val="0"/>
              <w:marRight w:val="0"/>
              <w:marTop w:val="0"/>
              <w:marBottom w:val="0"/>
              <w:divBdr>
                <w:top w:val="none" w:sz="0" w:space="0" w:color="auto"/>
                <w:left w:val="none" w:sz="0" w:space="0" w:color="auto"/>
                <w:bottom w:val="none" w:sz="0" w:space="0" w:color="auto"/>
                <w:right w:val="none" w:sz="0" w:space="0" w:color="auto"/>
              </w:divBdr>
              <w:divsChild>
                <w:div w:id="1235165405">
                  <w:marLeft w:val="0"/>
                  <w:marRight w:val="0"/>
                  <w:marTop w:val="0"/>
                  <w:marBottom w:val="0"/>
                  <w:divBdr>
                    <w:top w:val="none" w:sz="0" w:space="0" w:color="auto"/>
                    <w:left w:val="none" w:sz="0" w:space="0" w:color="auto"/>
                    <w:bottom w:val="none" w:sz="0" w:space="0" w:color="auto"/>
                    <w:right w:val="none" w:sz="0" w:space="0" w:color="auto"/>
                  </w:divBdr>
                  <w:divsChild>
                    <w:div w:id="1679774351">
                      <w:marLeft w:val="0"/>
                      <w:marRight w:val="0"/>
                      <w:marTop w:val="0"/>
                      <w:marBottom w:val="0"/>
                      <w:divBdr>
                        <w:top w:val="none" w:sz="0" w:space="0" w:color="auto"/>
                        <w:left w:val="none" w:sz="0" w:space="0" w:color="auto"/>
                        <w:bottom w:val="none" w:sz="0" w:space="0" w:color="auto"/>
                        <w:right w:val="none" w:sz="0" w:space="0" w:color="auto"/>
                      </w:divBdr>
                      <w:divsChild>
                        <w:div w:id="45810045">
                          <w:marLeft w:val="0"/>
                          <w:marRight w:val="0"/>
                          <w:marTop w:val="0"/>
                          <w:marBottom w:val="0"/>
                          <w:divBdr>
                            <w:top w:val="none" w:sz="0" w:space="0" w:color="auto"/>
                            <w:left w:val="none" w:sz="0" w:space="0" w:color="auto"/>
                            <w:bottom w:val="none" w:sz="0" w:space="0" w:color="auto"/>
                            <w:right w:val="none" w:sz="0" w:space="0" w:color="auto"/>
                          </w:divBdr>
                          <w:divsChild>
                            <w:div w:id="1210150272">
                              <w:marLeft w:val="0"/>
                              <w:marRight w:val="0"/>
                              <w:marTop w:val="0"/>
                              <w:marBottom w:val="0"/>
                              <w:divBdr>
                                <w:top w:val="none" w:sz="0" w:space="0" w:color="auto"/>
                                <w:left w:val="none" w:sz="0" w:space="0" w:color="auto"/>
                                <w:bottom w:val="none" w:sz="0" w:space="0" w:color="auto"/>
                                <w:right w:val="none" w:sz="0" w:space="0" w:color="auto"/>
                              </w:divBdr>
                              <w:divsChild>
                                <w:div w:id="1961302353">
                                  <w:marLeft w:val="0"/>
                                  <w:marRight w:val="0"/>
                                  <w:marTop w:val="0"/>
                                  <w:marBottom w:val="0"/>
                                  <w:divBdr>
                                    <w:top w:val="none" w:sz="0" w:space="0" w:color="auto"/>
                                    <w:left w:val="none" w:sz="0" w:space="0" w:color="auto"/>
                                    <w:bottom w:val="none" w:sz="0" w:space="0" w:color="auto"/>
                                    <w:right w:val="none" w:sz="0" w:space="0" w:color="auto"/>
                                  </w:divBdr>
                                  <w:divsChild>
                                    <w:div w:id="12299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402195">
                          <w:marLeft w:val="0"/>
                          <w:marRight w:val="0"/>
                          <w:marTop w:val="0"/>
                          <w:marBottom w:val="0"/>
                          <w:divBdr>
                            <w:top w:val="none" w:sz="0" w:space="0" w:color="auto"/>
                            <w:left w:val="none" w:sz="0" w:space="0" w:color="auto"/>
                            <w:bottom w:val="none" w:sz="0" w:space="0" w:color="auto"/>
                            <w:right w:val="none" w:sz="0" w:space="0" w:color="auto"/>
                          </w:divBdr>
                          <w:divsChild>
                            <w:div w:id="1555772532">
                              <w:marLeft w:val="0"/>
                              <w:marRight w:val="0"/>
                              <w:marTop w:val="0"/>
                              <w:marBottom w:val="0"/>
                              <w:divBdr>
                                <w:top w:val="none" w:sz="0" w:space="0" w:color="auto"/>
                                <w:left w:val="none" w:sz="0" w:space="0" w:color="auto"/>
                                <w:bottom w:val="none" w:sz="0" w:space="0" w:color="auto"/>
                                <w:right w:val="none" w:sz="0" w:space="0" w:color="auto"/>
                              </w:divBdr>
                              <w:divsChild>
                                <w:div w:id="62613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642636">
      <w:bodyDiv w:val="1"/>
      <w:marLeft w:val="0"/>
      <w:marRight w:val="0"/>
      <w:marTop w:val="0"/>
      <w:marBottom w:val="0"/>
      <w:divBdr>
        <w:top w:val="none" w:sz="0" w:space="0" w:color="auto"/>
        <w:left w:val="none" w:sz="0" w:space="0" w:color="auto"/>
        <w:bottom w:val="none" w:sz="0" w:space="0" w:color="auto"/>
        <w:right w:val="none" w:sz="0" w:space="0" w:color="auto"/>
      </w:divBdr>
      <w:divsChild>
        <w:div w:id="1595435805">
          <w:marLeft w:val="0"/>
          <w:marRight w:val="0"/>
          <w:marTop w:val="0"/>
          <w:marBottom w:val="0"/>
          <w:divBdr>
            <w:top w:val="none" w:sz="0" w:space="0" w:color="auto"/>
            <w:left w:val="none" w:sz="0" w:space="0" w:color="auto"/>
            <w:bottom w:val="none" w:sz="0" w:space="0" w:color="auto"/>
            <w:right w:val="none" w:sz="0" w:space="0" w:color="auto"/>
          </w:divBdr>
          <w:divsChild>
            <w:div w:id="2092774686">
              <w:marLeft w:val="0"/>
              <w:marRight w:val="0"/>
              <w:marTop w:val="0"/>
              <w:marBottom w:val="0"/>
              <w:divBdr>
                <w:top w:val="none" w:sz="0" w:space="0" w:color="auto"/>
                <w:left w:val="none" w:sz="0" w:space="0" w:color="auto"/>
                <w:bottom w:val="none" w:sz="0" w:space="0" w:color="auto"/>
                <w:right w:val="none" w:sz="0" w:space="0" w:color="auto"/>
              </w:divBdr>
              <w:divsChild>
                <w:div w:id="2030060922">
                  <w:marLeft w:val="0"/>
                  <w:marRight w:val="0"/>
                  <w:marTop w:val="0"/>
                  <w:marBottom w:val="0"/>
                  <w:divBdr>
                    <w:top w:val="none" w:sz="0" w:space="0" w:color="auto"/>
                    <w:left w:val="none" w:sz="0" w:space="0" w:color="auto"/>
                    <w:bottom w:val="none" w:sz="0" w:space="0" w:color="auto"/>
                    <w:right w:val="none" w:sz="0" w:space="0" w:color="auto"/>
                  </w:divBdr>
                  <w:divsChild>
                    <w:div w:id="619192105">
                      <w:marLeft w:val="0"/>
                      <w:marRight w:val="0"/>
                      <w:marTop w:val="0"/>
                      <w:marBottom w:val="0"/>
                      <w:divBdr>
                        <w:top w:val="none" w:sz="0" w:space="0" w:color="auto"/>
                        <w:left w:val="none" w:sz="0" w:space="0" w:color="auto"/>
                        <w:bottom w:val="none" w:sz="0" w:space="0" w:color="auto"/>
                        <w:right w:val="none" w:sz="0" w:space="0" w:color="auto"/>
                      </w:divBdr>
                      <w:divsChild>
                        <w:div w:id="52436381">
                          <w:marLeft w:val="0"/>
                          <w:marRight w:val="0"/>
                          <w:marTop w:val="0"/>
                          <w:marBottom w:val="0"/>
                          <w:divBdr>
                            <w:top w:val="none" w:sz="0" w:space="0" w:color="auto"/>
                            <w:left w:val="none" w:sz="0" w:space="0" w:color="auto"/>
                            <w:bottom w:val="none" w:sz="0" w:space="0" w:color="auto"/>
                            <w:right w:val="none" w:sz="0" w:space="0" w:color="auto"/>
                          </w:divBdr>
                          <w:divsChild>
                            <w:div w:id="739208209">
                              <w:marLeft w:val="0"/>
                              <w:marRight w:val="0"/>
                              <w:marTop w:val="0"/>
                              <w:marBottom w:val="0"/>
                              <w:divBdr>
                                <w:top w:val="none" w:sz="0" w:space="0" w:color="auto"/>
                                <w:left w:val="none" w:sz="0" w:space="0" w:color="auto"/>
                                <w:bottom w:val="none" w:sz="0" w:space="0" w:color="auto"/>
                                <w:right w:val="none" w:sz="0" w:space="0" w:color="auto"/>
                              </w:divBdr>
                              <w:divsChild>
                                <w:div w:id="471606909">
                                  <w:marLeft w:val="0"/>
                                  <w:marRight w:val="0"/>
                                  <w:marTop w:val="0"/>
                                  <w:marBottom w:val="0"/>
                                  <w:divBdr>
                                    <w:top w:val="none" w:sz="0" w:space="0" w:color="auto"/>
                                    <w:left w:val="none" w:sz="0" w:space="0" w:color="auto"/>
                                    <w:bottom w:val="none" w:sz="0" w:space="0" w:color="auto"/>
                                    <w:right w:val="none" w:sz="0" w:space="0" w:color="auto"/>
                                  </w:divBdr>
                                  <w:divsChild>
                                    <w:div w:id="115769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66928">
                          <w:marLeft w:val="0"/>
                          <w:marRight w:val="0"/>
                          <w:marTop w:val="0"/>
                          <w:marBottom w:val="0"/>
                          <w:divBdr>
                            <w:top w:val="none" w:sz="0" w:space="0" w:color="auto"/>
                            <w:left w:val="none" w:sz="0" w:space="0" w:color="auto"/>
                            <w:bottom w:val="none" w:sz="0" w:space="0" w:color="auto"/>
                            <w:right w:val="none" w:sz="0" w:space="0" w:color="auto"/>
                          </w:divBdr>
                          <w:divsChild>
                            <w:div w:id="572786375">
                              <w:marLeft w:val="0"/>
                              <w:marRight w:val="0"/>
                              <w:marTop w:val="0"/>
                              <w:marBottom w:val="0"/>
                              <w:divBdr>
                                <w:top w:val="none" w:sz="0" w:space="0" w:color="auto"/>
                                <w:left w:val="none" w:sz="0" w:space="0" w:color="auto"/>
                                <w:bottom w:val="none" w:sz="0" w:space="0" w:color="auto"/>
                                <w:right w:val="none" w:sz="0" w:space="0" w:color="auto"/>
                              </w:divBdr>
                              <w:divsChild>
                                <w:div w:id="52883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95057">
      <w:bodyDiv w:val="1"/>
      <w:marLeft w:val="0"/>
      <w:marRight w:val="0"/>
      <w:marTop w:val="0"/>
      <w:marBottom w:val="0"/>
      <w:divBdr>
        <w:top w:val="none" w:sz="0" w:space="0" w:color="auto"/>
        <w:left w:val="none" w:sz="0" w:space="0" w:color="auto"/>
        <w:bottom w:val="none" w:sz="0" w:space="0" w:color="auto"/>
        <w:right w:val="none" w:sz="0" w:space="0" w:color="auto"/>
      </w:divBdr>
      <w:divsChild>
        <w:div w:id="384179001">
          <w:marLeft w:val="0"/>
          <w:marRight w:val="0"/>
          <w:marTop w:val="0"/>
          <w:marBottom w:val="0"/>
          <w:divBdr>
            <w:top w:val="none" w:sz="0" w:space="0" w:color="auto"/>
            <w:left w:val="none" w:sz="0" w:space="0" w:color="auto"/>
            <w:bottom w:val="none" w:sz="0" w:space="0" w:color="auto"/>
            <w:right w:val="none" w:sz="0" w:space="0" w:color="auto"/>
          </w:divBdr>
          <w:divsChild>
            <w:div w:id="1388794096">
              <w:marLeft w:val="0"/>
              <w:marRight w:val="0"/>
              <w:marTop w:val="0"/>
              <w:marBottom w:val="0"/>
              <w:divBdr>
                <w:top w:val="none" w:sz="0" w:space="0" w:color="auto"/>
                <w:left w:val="none" w:sz="0" w:space="0" w:color="auto"/>
                <w:bottom w:val="none" w:sz="0" w:space="0" w:color="auto"/>
                <w:right w:val="none" w:sz="0" w:space="0" w:color="auto"/>
              </w:divBdr>
              <w:divsChild>
                <w:div w:id="1368800376">
                  <w:marLeft w:val="0"/>
                  <w:marRight w:val="0"/>
                  <w:marTop w:val="0"/>
                  <w:marBottom w:val="0"/>
                  <w:divBdr>
                    <w:top w:val="none" w:sz="0" w:space="0" w:color="auto"/>
                    <w:left w:val="none" w:sz="0" w:space="0" w:color="auto"/>
                    <w:bottom w:val="none" w:sz="0" w:space="0" w:color="auto"/>
                    <w:right w:val="none" w:sz="0" w:space="0" w:color="auto"/>
                  </w:divBdr>
                  <w:divsChild>
                    <w:div w:id="1537888941">
                      <w:marLeft w:val="0"/>
                      <w:marRight w:val="0"/>
                      <w:marTop w:val="0"/>
                      <w:marBottom w:val="0"/>
                      <w:divBdr>
                        <w:top w:val="none" w:sz="0" w:space="0" w:color="auto"/>
                        <w:left w:val="none" w:sz="0" w:space="0" w:color="auto"/>
                        <w:bottom w:val="none" w:sz="0" w:space="0" w:color="auto"/>
                        <w:right w:val="none" w:sz="0" w:space="0" w:color="auto"/>
                      </w:divBdr>
                      <w:divsChild>
                        <w:div w:id="550918678">
                          <w:marLeft w:val="0"/>
                          <w:marRight w:val="0"/>
                          <w:marTop w:val="0"/>
                          <w:marBottom w:val="0"/>
                          <w:divBdr>
                            <w:top w:val="none" w:sz="0" w:space="0" w:color="auto"/>
                            <w:left w:val="none" w:sz="0" w:space="0" w:color="auto"/>
                            <w:bottom w:val="none" w:sz="0" w:space="0" w:color="auto"/>
                            <w:right w:val="none" w:sz="0" w:space="0" w:color="auto"/>
                          </w:divBdr>
                          <w:divsChild>
                            <w:div w:id="1947734261">
                              <w:marLeft w:val="0"/>
                              <w:marRight w:val="0"/>
                              <w:marTop w:val="0"/>
                              <w:marBottom w:val="0"/>
                              <w:divBdr>
                                <w:top w:val="none" w:sz="0" w:space="0" w:color="auto"/>
                                <w:left w:val="none" w:sz="0" w:space="0" w:color="auto"/>
                                <w:bottom w:val="none" w:sz="0" w:space="0" w:color="auto"/>
                                <w:right w:val="none" w:sz="0" w:space="0" w:color="auto"/>
                              </w:divBdr>
                              <w:divsChild>
                                <w:div w:id="1700622794">
                                  <w:marLeft w:val="0"/>
                                  <w:marRight w:val="0"/>
                                  <w:marTop w:val="0"/>
                                  <w:marBottom w:val="0"/>
                                  <w:divBdr>
                                    <w:top w:val="none" w:sz="0" w:space="0" w:color="auto"/>
                                    <w:left w:val="none" w:sz="0" w:space="0" w:color="auto"/>
                                    <w:bottom w:val="none" w:sz="0" w:space="0" w:color="auto"/>
                                    <w:right w:val="none" w:sz="0" w:space="0" w:color="auto"/>
                                  </w:divBdr>
                                  <w:divsChild>
                                    <w:div w:id="202566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4786">
                          <w:marLeft w:val="0"/>
                          <w:marRight w:val="0"/>
                          <w:marTop w:val="0"/>
                          <w:marBottom w:val="0"/>
                          <w:divBdr>
                            <w:top w:val="none" w:sz="0" w:space="0" w:color="auto"/>
                            <w:left w:val="none" w:sz="0" w:space="0" w:color="auto"/>
                            <w:bottom w:val="none" w:sz="0" w:space="0" w:color="auto"/>
                            <w:right w:val="none" w:sz="0" w:space="0" w:color="auto"/>
                          </w:divBdr>
                          <w:divsChild>
                            <w:div w:id="375395660">
                              <w:marLeft w:val="0"/>
                              <w:marRight w:val="0"/>
                              <w:marTop w:val="0"/>
                              <w:marBottom w:val="0"/>
                              <w:divBdr>
                                <w:top w:val="none" w:sz="0" w:space="0" w:color="auto"/>
                                <w:left w:val="none" w:sz="0" w:space="0" w:color="auto"/>
                                <w:bottom w:val="none" w:sz="0" w:space="0" w:color="auto"/>
                                <w:right w:val="none" w:sz="0" w:space="0" w:color="auto"/>
                              </w:divBdr>
                              <w:divsChild>
                                <w:div w:id="59729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984363">
      <w:bodyDiv w:val="1"/>
      <w:marLeft w:val="0"/>
      <w:marRight w:val="0"/>
      <w:marTop w:val="0"/>
      <w:marBottom w:val="0"/>
      <w:divBdr>
        <w:top w:val="none" w:sz="0" w:space="0" w:color="auto"/>
        <w:left w:val="none" w:sz="0" w:space="0" w:color="auto"/>
        <w:bottom w:val="none" w:sz="0" w:space="0" w:color="auto"/>
        <w:right w:val="none" w:sz="0" w:space="0" w:color="auto"/>
      </w:divBdr>
      <w:divsChild>
        <w:div w:id="1518471575">
          <w:marLeft w:val="0"/>
          <w:marRight w:val="0"/>
          <w:marTop w:val="0"/>
          <w:marBottom w:val="0"/>
          <w:divBdr>
            <w:top w:val="none" w:sz="0" w:space="0" w:color="auto"/>
            <w:left w:val="none" w:sz="0" w:space="0" w:color="auto"/>
            <w:bottom w:val="none" w:sz="0" w:space="0" w:color="auto"/>
            <w:right w:val="none" w:sz="0" w:space="0" w:color="auto"/>
          </w:divBdr>
          <w:divsChild>
            <w:div w:id="1316640029">
              <w:marLeft w:val="0"/>
              <w:marRight w:val="0"/>
              <w:marTop w:val="0"/>
              <w:marBottom w:val="0"/>
              <w:divBdr>
                <w:top w:val="none" w:sz="0" w:space="0" w:color="auto"/>
                <w:left w:val="none" w:sz="0" w:space="0" w:color="auto"/>
                <w:bottom w:val="none" w:sz="0" w:space="0" w:color="auto"/>
                <w:right w:val="none" w:sz="0" w:space="0" w:color="auto"/>
              </w:divBdr>
              <w:divsChild>
                <w:div w:id="1111706755">
                  <w:marLeft w:val="0"/>
                  <w:marRight w:val="0"/>
                  <w:marTop w:val="0"/>
                  <w:marBottom w:val="0"/>
                  <w:divBdr>
                    <w:top w:val="none" w:sz="0" w:space="0" w:color="auto"/>
                    <w:left w:val="none" w:sz="0" w:space="0" w:color="auto"/>
                    <w:bottom w:val="none" w:sz="0" w:space="0" w:color="auto"/>
                    <w:right w:val="none" w:sz="0" w:space="0" w:color="auto"/>
                  </w:divBdr>
                  <w:divsChild>
                    <w:div w:id="1818188344">
                      <w:marLeft w:val="0"/>
                      <w:marRight w:val="0"/>
                      <w:marTop w:val="0"/>
                      <w:marBottom w:val="0"/>
                      <w:divBdr>
                        <w:top w:val="none" w:sz="0" w:space="0" w:color="auto"/>
                        <w:left w:val="none" w:sz="0" w:space="0" w:color="auto"/>
                        <w:bottom w:val="none" w:sz="0" w:space="0" w:color="auto"/>
                        <w:right w:val="none" w:sz="0" w:space="0" w:color="auto"/>
                      </w:divBdr>
                      <w:divsChild>
                        <w:div w:id="80685876">
                          <w:marLeft w:val="0"/>
                          <w:marRight w:val="0"/>
                          <w:marTop w:val="0"/>
                          <w:marBottom w:val="0"/>
                          <w:divBdr>
                            <w:top w:val="none" w:sz="0" w:space="0" w:color="auto"/>
                            <w:left w:val="none" w:sz="0" w:space="0" w:color="auto"/>
                            <w:bottom w:val="none" w:sz="0" w:space="0" w:color="auto"/>
                            <w:right w:val="none" w:sz="0" w:space="0" w:color="auto"/>
                          </w:divBdr>
                          <w:divsChild>
                            <w:div w:id="20590428">
                              <w:marLeft w:val="0"/>
                              <w:marRight w:val="0"/>
                              <w:marTop w:val="0"/>
                              <w:marBottom w:val="0"/>
                              <w:divBdr>
                                <w:top w:val="none" w:sz="0" w:space="0" w:color="auto"/>
                                <w:left w:val="none" w:sz="0" w:space="0" w:color="auto"/>
                                <w:bottom w:val="none" w:sz="0" w:space="0" w:color="auto"/>
                                <w:right w:val="none" w:sz="0" w:space="0" w:color="auto"/>
                              </w:divBdr>
                              <w:divsChild>
                                <w:div w:id="93285770">
                                  <w:marLeft w:val="0"/>
                                  <w:marRight w:val="0"/>
                                  <w:marTop w:val="0"/>
                                  <w:marBottom w:val="0"/>
                                  <w:divBdr>
                                    <w:top w:val="none" w:sz="0" w:space="0" w:color="auto"/>
                                    <w:left w:val="none" w:sz="0" w:space="0" w:color="auto"/>
                                    <w:bottom w:val="none" w:sz="0" w:space="0" w:color="auto"/>
                                    <w:right w:val="none" w:sz="0" w:space="0" w:color="auto"/>
                                  </w:divBdr>
                                  <w:divsChild>
                                    <w:div w:id="183652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876331">
                          <w:marLeft w:val="0"/>
                          <w:marRight w:val="0"/>
                          <w:marTop w:val="0"/>
                          <w:marBottom w:val="0"/>
                          <w:divBdr>
                            <w:top w:val="none" w:sz="0" w:space="0" w:color="auto"/>
                            <w:left w:val="none" w:sz="0" w:space="0" w:color="auto"/>
                            <w:bottom w:val="none" w:sz="0" w:space="0" w:color="auto"/>
                            <w:right w:val="none" w:sz="0" w:space="0" w:color="auto"/>
                          </w:divBdr>
                          <w:divsChild>
                            <w:div w:id="1333603581">
                              <w:marLeft w:val="0"/>
                              <w:marRight w:val="0"/>
                              <w:marTop w:val="0"/>
                              <w:marBottom w:val="0"/>
                              <w:divBdr>
                                <w:top w:val="none" w:sz="0" w:space="0" w:color="auto"/>
                                <w:left w:val="none" w:sz="0" w:space="0" w:color="auto"/>
                                <w:bottom w:val="none" w:sz="0" w:space="0" w:color="auto"/>
                                <w:right w:val="none" w:sz="0" w:space="0" w:color="auto"/>
                              </w:divBdr>
                              <w:divsChild>
                                <w:div w:id="203865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5991006">
      <w:bodyDiv w:val="1"/>
      <w:marLeft w:val="0"/>
      <w:marRight w:val="0"/>
      <w:marTop w:val="0"/>
      <w:marBottom w:val="0"/>
      <w:divBdr>
        <w:top w:val="none" w:sz="0" w:space="0" w:color="auto"/>
        <w:left w:val="none" w:sz="0" w:space="0" w:color="auto"/>
        <w:bottom w:val="none" w:sz="0" w:space="0" w:color="auto"/>
        <w:right w:val="none" w:sz="0" w:space="0" w:color="auto"/>
      </w:divBdr>
      <w:divsChild>
        <w:div w:id="1961760459">
          <w:marLeft w:val="0"/>
          <w:marRight w:val="0"/>
          <w:marTop w:val="0"/>
          <w:marBottom w:val="0"/>
          <w:divBdr>
            <w:top w:val="none" w:sz="0" w:space="0" w:color="auto"/>
            <w:left w:val="none" w:sz="0" w:space="0" w:color="auto"/>
            <w:bottom w:val="none" w:sz="0" w:space="0" w:color="auto"/>
            <w:right w:val="none" w:sz="0" w:space="0" w:color="auto"/>
          </w:divBdr>
          <w:divsChild>
            <w:div w:id="1168211640">
              <w:marLeft w:val="0"/>
              <w:marRight w:val="0"/>
              <w:marTop w:val="0"/>
              <w:marBottom w:val="0"/>
              <w:divBdr>
                <w:top w:val="none" w:sz="0" w:space="0" w:color="auto"/>
                <w:left w:val="none" w:sz="0" w:space="0" w:color="auto"/>
                <w:bottom w:val="none" w:sz="0" w:space="0" w:color="auto"/>
                <w:right w:val="none" w:sz="0" w:space="0" w:color="auto"/>
              </w:divBdr>
              <w:divsChild>
                <w:div w:id="272329570">
                  <w:marLeft w:val="0"/>
                  <w:marRight w:val="0"/>
                  <w:marTop w:val="0"/>
                  <w:marBottom w:val="0"/>
                  <w:divBdr>
                    <w:top w:val="none" w:sz="0" w:space="0" w:color="auto"/>
                    <w:left w:val="none" w:sz="0" w:space="0" w:color="auto"/>
                    <w:bottom w:val="none" w:sz="0" w:space="0" w:color="auto"/>
                    <w:right w:val="none" w:sz="0" w:space="0" w:color="auto"/>
                  </w:divBdr>
                  <w:divsChild>
                    <w:div w:id="1408501447">
                      <w:marLeft w:val="0"/>
                      <w:marRight w:val="0"/>
                      <w:marTop w:val="0"/>
                      <w:marBottom w:val="0"/>
                      <w:divBdr>
                        <w:top w:val="none" w:sz="0" w:space="0" w:color="auto"/>
                        <w:left w:val="none" w:sz="0" w:space="0" w:color="auto"/>
                        <w:bottom w:val="none" w:sz="0" w:space="0" w:color="auto"/>
                        <w:right w:val="none" w:sz="0" w:space="0" w:color="auto"/>
                      </w:divBdr>
                      <w:divsChild>
                        <w:div w:id="1932160415">
                          <w:marLeft w:val="0"/>
                          <w:marRight w:val="0"/>
                          <w:marTop w:val="0"/>
                          <w:marBottom w:val="0"/>
                          <w:divBdr>
                            <w:top w:val="none" w:sz="0" w:space="0" w:color="auto"/>
                            <w:left w:val="none" w:sz="0" w:space="0" w:color="auto"/>
                            <w:bottom w:val="none" w:sz="0" w:space="0" w:color="auto"/>
                            <w:right w:val="none" w:sz="0" w:space="0" w:color="auto"/>
                          </w:divBdr>
                          <w:divsChild>
                            <w:div w:id="396827860">
                              <w:marLeft w:val="0"/>
                              <w:marRight w:val="0"/>
                              <w:marTop w:val="0"/>
                              <w:marBottom w:val="0"/>
                              <w:divBdr>
                                <w:top w:val="none" w:sz="0" w:space="0" w:color="auto"/>
                                <w:left w:val="none" w:sz="0" w:space="0" w:color="auto"/>
                                <w:bottom w:val="none" w:sz="0" w:space="0" w:color="auto"/>
                                <w:right w:val="none" w:sz="0" w:space="0" w:color="auto"/>
                              </w:divBdr>
                              <w:divsChild>
                                <w:div w:id="580212459">
                                  <w:marLeft w:val="0"/>
                                  <w:marRight w:val="0"/>
                                  <w:marTop w:val="0"/>
                                  <w:marBottom w:val="0"/>
                                  <w:divBdr>
                                    <w:top w:val="none" w:sz="0" w:space="0" w:color="auto"/>
                                    <w:left w:val="none" w:sz="0" w:space="0" w:color="auto"/>
                                    <w:bottom w:val="none" w:sz="0" w:space="0" w:color="auto"/>
                                    <w:right w:val="none" w:sz="0" w:space="0" w:color="auto"/>
                                  </w:divBdr>
                                  <w:divsChild>
                                    <w:div w:id="14096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68827">
                          <w:marLeft w:val="0"/>
                          <w:marRight w:val="0"/>
                          <w:marTop w:val="0"/>
                          <w:marBottom w:val="0"/>
                          <w:divBdr>
                            <w:top w:val="none" w:sz="0" w:space="0" w:color="auto"/>
                            <w:left w:val="none" w:sz="0" w:space="0" w:color="auto"/>
                            <w:bottom w:val="none" w:sz="0" w:space="0" w:color="auto"/>
                            <w:right w:val="none" w:sz="0" w:space="0" w:color="auto"/>
                          </w:divBdr>
                          <w:divsChild>
                            <w:div w:id="2016301879">
                              <w:marLeft w:val="0"/>
                              <w:marRight w:val="0"/>
                              <w:marTop w:val="0"/>
                              <w:marBottom w:val="0"/>
                              <w:divBdr>
                                <w:top w:val="none" w:sz="0" w:space="0" w:color="auto"/>
                                <w:left w:val="none" w:sz="0" w:space="0" w:color="auto"/>
                                <w:bottom w:val="none" w:sz="0" w:space="0" w:color="auto"/>
                                <w:right w:val="none" w:sz="0" w:space="0" w:color="auto"/>
                              </w:divBdr>
                              <w:divsChild>
                                <w:div w:id="57478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c-d.org/fichiers/032825-CCD-Co-Chair-Statement-on-the-HHS-RIF-and-Dismantling-of-ACL.pdf" TargetMode="External"/><Relationship Id="rId18" Type="http://schemas.openxmlformats.org/officeDocument/2006/relationships/hyperlink" Target="https://dredf.org/federal-health-and-human-services-reorganization-and-cuts-will-hurt-people-with-disabilities/" TargetMode="External"/><Relationship Id="rId26" Type="http://schemas.openxmlformats.org/officeDocument/2006/relationships/hyperlink" Target="https://www.politico.com/news/2025/03/28/federal-workers-unions-lawsuit-donald-trump-00257991" TargetMode="External"/><Relationship Id="rId21" Type="http://schemas.openxmlformats.org/officeDocument/2006/relationships/hyperlink" Target="https://www.sanders.senate.gov/press-releases/news-under-musks-plan-for-social-security-67000-americans-will-die-waiting-for-disability-benefits/" TargetMode="External"/><Relationship Id="rId34" Type="http://schemas.openxmlformats.org/officeDocument/2006/relationships/hyperlink" Target="https://www.ndrn.org/events/annual-conference-2025/" TargetMode="External"/><Relationship Id="rId7" Type="http://schemas.openxmlformats.org/officeDocument/2006/relationships/image" Target="media/image1.png"/><Relationship Id="rId12" Type="http://schemas.openxmlformats.org/officeDocument/2006/relationships/hyperlink" Target="https://www.lcao.org/wp-content/uploads/2025/03/LCAO-March-2025-Letter-Re-HHS-Restructuring.pdf" TargetMode="External"/><Relationship Id="rId17" Type="http://schemas.openxmlformats.org/officeDocument/2006/relationships/hyperlink" Target="https://nacdd.org/we-will-not-go-back-defending-acl-and-the-future-of-community-living/" TargetMode="External"/><Relationship Id="rId25" Type="http://schemas.openxmlformats.org/officeDocument/2006/relationships/hyperlink" Target="https://www.whitehouse.gov/fact-sheets/2025/03/fact-sheet-president-donald-j-trump-exempts-agencies-with-national-security-missions-from-federal-collective-bargaining-requirements/" TargetMode="External"/><Relationship Id="rId33" Type="http://schemas.openxmlformats.org/officeDocument/2006/relationships/hyperlink" Target="https://www.speaker.gov/wp-content/uploads/2025/04/House-GOP-Leadership-Budget-Resoluton-Dear-Colleague.pdf" TargetMode="External"/><Relationship Id="rId2" Type="http://schemas.openxmlformats.org/officeDocument/2006/relationships/styles" Target="styles.xml"/><Relationship Id="rId16" Type="http://schemas.openxmlformats.org/officeDocument/2006/relationships/hyperlink" Target="https://press.aarp.org/2025-3-27-AARP-Statement-HHS-Restructuring" TargetMode="External"/><Relationship Id="rId20" Type="http://schemas.openxmlformats.org/officeDocument/2006/relationships/hyperlink" Target="https://mailchi.mp/ncil/hhs-restructuring?e=67109b2c59" TargetMode="External"/><Relationship Id="rId29" Type="http://schemas.openxmlformats.org/officeDocument/2006/relationships/hyperlink" Target="https://fingfx.thomsonreuters.com/gfx/legaldocs/zdpxaakrovx/04012025rhodeisland.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isabilityscoop.com/2025/04/03/hhs-layoffs-likely-to-have-ripple-effect-on-disability-programs-nationwide/31391/" TargetMode="External"/><Relationship Id="rId24" Type="http://schemas.openxmlformats.org/officeDocument/2006/relationships/hyperlink" Target="https://thehill.com/regulation/court-battles/5223768-federal-employee-union-sues-trump/" TargetMode="External"/><Relationship Id="rId32" Type="http://schemas.openxmlformats.org/officeDocument/2006/relationships/hyperlink" Target="https://thehill.com/homenews/senate/5233787-senate-republicans-vote-budget-resolution/"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caregiving.org/the-national-alliance-for-caregiving-statement-on-the-restructuring-of-the-department-of-health-and-human-services/" TargetMode="External"/><Relationship Id="rId23" Type="http://schemas.openxmlformats.org/officeDocument/2006/relationships/hyperlink" Target="https://www.npr.org/sections/shots-health-news/2025/04/01/g-s1-57716/hhs-layoffs-seniors-disabled-liheap-acl" TargetMode="External"/><Relationship Id="rId28" Type="http://schemas.openxmlformats.org/officeDocument/2006/relationships/hyperlink" Target="https://www.reuters.com/legal/democratic-led-states-sue-us-health-secretary-2025-04-01/" TargetMode="External"/><Relationship Id="rId36" Type="http://schemas.openxmlformats.org/officeDocument/2006/relationships/fontTable" Target="fontTable.xml"/><Relationship Id="rId10" Type="http://schemas.openxmlformats.org/officeDocument/2006/relationships/hyperlink" Target="https://www.disabilityscoop.com/2025/04/03/hhs-layoffs-likely-to-have-ripple-effect-on-disability-programs-nationwide/31391/" TargetMode="External"/><Relationship Id="rId19" Type="http://schemas.openxmlformats.org/officeDocument/2006/relationships/hyperlink" Target="https://www.aucd.org/news/aucd-press-release-on-hhs-announcement" TargetMode="External"/><Relationship Id="rId31" Type="http://schemas.openxmlformats.org/officeDocument/2006/relationships/hyperlink" Target="https://thehill.com/homenews/house/5222998-senate-republicans-budget-resolution/" TargetMode="External"/><Relationship Id="rId4" Type="http://schemas.openxmlformats.org/officeDocument/2006/relationships/webSettings" Target="webSettings.xml"/><Relationship Id="rId9" Type="http://schemas.openxmlformats.org/officeDocument/2006/relationships/hyperlink" Target="https://apnews.com/article/health-human-services-layoffs-restructuring-rfk-jr-ec4d7731695e4204970c7eab953b2289" TargetMode="External"/><Relationship Id="rId14" Type="http://schemas.openxmlformats.org/officeDocument/2006/relationships/hyperlink" Target="https://justiceinaging.salsalabs.org/alertstatementontheeliminationoftheadministrationforco-a?wvpId=39e57780-fee1-470a-bf59-3319083fed88" TargetMode="External"/><Relationship Id="rId22" Type="http://schemas.openxmlformats.org/officeDocument/2006/relationships/hyperlink" Target="https://www.sanders.senate.gov/wp-content/uploads/SSA-DOGE-Impact-Report.pdf" TargetMode="External"/><Relationship Id="rId27" Type="http://schemas.openxmlformats.org/officeDocument/2006/relationships/hyperlink" Target="https://apnews.com/article/health-human-services-layoffs-restructuring-rfk-jr-fa4e89285e668a3939e20b6cf4c26fd4" TargetMode="External"/><Relationship Id="rId30" Type="http://schemas.openxmlformats.org/officeDocument/2006/relationships/hyperlink" Target="https://www.justice.gov/sites/default/files/jmd/legacy/2014/05/01/act-pl79-404.pdf" TargetMode="External"/><Relationship Id="rId35" Type="http://schemas.openxmlformats.org/officeDocument/2006/relationships/footer" Target="footer1.xml"/><Relationship Id="rId8" Type="http://schemas.openxmlformats.org/officeDocument/2006/relationships/hyperlink" Target="https://www.hhs.gov/about/news/hhs-restructuring-doge-fact-sheet.html"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1934</Words>
  <Characters>11026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Rachel Jordan</cp:lastModifiedBy>
  <cp:revision>2</cp:revision>
  <dcterms:created xsi:type="dcterms:W3CDTF">2025-04-08T20:41:00Z</dcterms:created>
  <dcterms:modified xsi:type="dcterms:W3CDTF">2025-04-08T20:41:00Z</dcterms:modified>
</cp:coreProperties>
</file>