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BA7C2" w14:textId="77777777" w:rsidR="00B25CD8" w:rsidRPr="00B25CD8" w:rsidRDefault="00B25CD8" w:rsidP="00B25CD8"/>
    <w:p w14:paraId="684F9092" w14:textId="28AE5BD6" w:rsidR="00B25CD8" w:rsidRPr="00B25CD8" w:rsidRDefault="00B25CD8" w:rsidP="00B25CD8">
      <w:r w:rsidRPr="00B25CD8">
        <w:drawing>
          <wp:anchor distT="0" distB="0" distL="114300" distR="114300" simplePos="0" relativeHeight="251659264" behindDoc="0" locked="0" layoutInCell="1" allowOverlap="0" wp14:anchorId="315BD2B3" wp14:editId="73C005E0">
            <wp:simplePos x="0" y="0"/>
            <wp:positionH relativeFrom="column">
              <wp:align>left</wp:align>
            </wp:positionH>
            <wp:positionV relativeFrom="line">
              <wp:posOffset>0</wp:posOffset>
            </wp:positionV>
            <wp:extent cx="5943600" cy="2096770"/>
            <wp:effectExtent l="0" t="0" r="0" b="0"/>
            <wp:wrapSquare wrapText="bothSides"/>
            <wp:docPr id="1131150603" name="Picture 6"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building with a do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096770"/>
                    </a:xfrm>
                    <a:prstGeom prst="rect">
                      <a:avLst/>
                    </a:prstGeom>
                    <a:noFill/>
                  </pic:spPr>
                </pic:pic>
              </a:graphicData>
            </a:graphic>
            <wp14:sizeRelH relativeFrom="page">
              <wp14:pctWidth>0</wp14:pctWidth>
            </wp14:sizeRelH>
            <wp14:sizeRelV relativeFrom="page">
              <wp14:pctHeight>0</wp14:pctHeight>
            </wp14:sizeRelV>
          </wp:anchor>
        </w:drawing>
      </w:r>
      <w:r w:rsidRPr="00B25CD8">
        <w:t>May 21, 2024</w:t>
      </w:r>
    </w:p>
    <w:p w14:paraId="4F6A1BBD" w14:textId="77777777" w:rsidR="00B25CD8" w:rsidRPr="00B25CD8" w:rsidRDefault="00B25CD8" w:rsidP="00B25CD8">
      <w:pPr>
        <w:numPr>
          <w:ilvl w:val="0"/>
          <w:numId w:val="1"/>
        </w:numPr>
      </w:pPr>
      <w:r w:rsidRPr="00B25CD8">
        <w:t xml:space="preserve">ASPE Releases Report on Trends in Telehealth Use Among People with Disabilities  </w:t>
      </w:r>
    </w:p>
    <w:p w14:paraId="34B6EE50" w14:textId="77777777" w:rsidR="00B25CD8" w:rsidRPr="00B25CD8" w:rsidRDefault="00B25CD8" w:rsidP="00B25CD8">
      <w:r w:rsidRPr="00B25CD8">
        <w:t xml:space="preserve">The Office of the Assistant Secretary for Planning and Evaluation (ASPE) published a </w:t>
      </w:r>
      <w:hyperlink r:id="rId6" w:history="1">
        <w:r w:rsidRPr="00B25CD8">
          <w:rPr>
            <w:rStyle w:val="Hyperlink"/>
          </w:rPr>
          <w:t>report</w:t>
        </w:r>
      </w:hyperlink>
      <w:r w:rsidRPr="00B25CD8">
        <w:t xml:space="preserve"> on telehealth use among people and Medicare beneficiaries with disabilities, focusing on the use of audio-only telehealth during the second and third years of the COVID-19 pandemic. The study draws on data from the Medicare Current Beneficiary Survey (MCBS) COVID-19 2021 Winter Supplement and 2022 surveys, ASPE’s Medicare Telehealth Trends Dashboard, and the Census Bureau’s Household Pulse Survey (HPS). Across the surveyed and claims data analyzed, individuals with disabilities were more likely to use telehealth than those without disabilities. Further, people with multiple disabilities, and mobility disabilities were the most likely to use telehealth as a service delivery option. Audio-only telehealth accounted for </w:t>
      </w:r>
      <w:proofErr w:type="gramStart"/>
      <w:r w:rsidRPr="00B25CD8">
        <w:t>the majority of</w:t>
      </w:r>
      <w:proofErr w:type="gramEnd"/>
      <w:r w:rsidRPr="00B25CD8">
        <w:t xml:space="preserve"> telehealth interactions among people with disabilities and older adults, which suggests this telehealth modality is essential for maintaining access to care among these populations.</w:t>
      </w:r>
    </w:p>
    <w:p w14:paraId="68E145EE" w14:textId="77777777" w:rsidR="00B25CD8" w:rsidRPr="00B25CD8" w:rsidRDefault="00B25CD8" w:rsidP="00B25CD8">
      <w:r w:rsidRPr="00B25CD8">
        <w:t> </w:t>
      </w:r>
    </w:p>
    <w:p w14:paraId="2544B79E" w14:textId="77777777" w:rsidR="00B25CD8" w:rsidRPr="00B25CD8" w:rsidRDefault="00B25CD8" w:rsidP="00B25CD8">
      <w:pPr>
        <w:numPr>
          <w:ilvl w:val="0"/>
          <w:numId w:val="2"/>
        </w:numPr>
      </w:pPr>
      <w:r w:rsidRPr="00B25CD8">
        <w:t xml:space="preserve">Article Details Challenges Faced by Individuals with Disabilities Who Experience Abrupt Losses of Medicaid Benefits </w:t>
      </w:r>
    </w:p>
    <w:p w14:paraId="58450169" w14:textId="77777777" w:rsidR="00B25CD8" w:rsidRPr="00B25CD8" w:rsidRDefault="00B25CD8" w:rsidP="00B25CD8">
      <w:r w:rsidRPr="00B25CD8">
        <w:t xml:space="preserve">The article </w:t>
      </w:r>
      <w:hyperlink r:id="rId7" w:history="1">
        <w:r w:rsidRPr="00B25CD8">
          <w:rPr>
            <w:rStyle w:val="Hyperlink"/>
          </w:rPr>
          <w:t>discusses</w:t>
        </w:r>
      </w:hyperlink>
      <w:r w:rsidRPr="00B25CD8">
        <w:t xml:space="preserve"> the challenges faced by individuals with disabilities who experienced an abrupt loss of Medicaid benefits during the unwinding period following the COVID-19 public health emergency. Jacqueline </w:t>
      </w:r>
      <w:proofErr w:type="spellStart"/>
      <w:r w:rsidRPr="00B25CD8">
        <w:t>Saa</w:t>
      </w:r>
      <w:proofErr w:type="spellEnd"/>
      <w:r w:rsidRPr="00B25CD8">
        <w:t>, who has Ehlers-Danlos syndrome, lost her Medicaid-provided home health aide services with little notice, causing her significant stress and disruption in her care. Although her services were eventually restored, she experienced a challenging gap without essential support. This issue is part of a broader problem as states began eligibility redeterminations in spring 2023 with the expiration of the pandemic-era continuing coverage mandate. The article highlights how states have not prioritized the needs of disabled enrollees during the unwinding, leading to disruptions in care. Workforce shortages and flawed eligibility systems worsen the problem, with many people wrongfully disenrolled.</w:t>
      </w:r>
    </w:p>
    <w:p w14:paraId="6A541141" w14:textId="77777777" w:rsidR="00B25CD8" w:rsidRPr="00B25CD8" w:rsidRDefault="00B25CD8" w:rsidP="00B25CD8">
      <w:r w:rsidRPr="00B25CD8">
        <w:t> </w:t>
      </w:r>
    </w:p>
    <w:p w14:paraId="3626CAF9" w14:textId="77777777" w:rsidR="00B25CD8" w:rsidRPr="00B25CD8" w:rsidRDefault="00B25CD8" w:rsidP="00B25CD8">
      <w:pPr>
        <w:numPr>
          <w:ilvl w:val="0"/>
          <w:numId w:val="3"/>
        </w:numPr>
      </w:pPr>
      <w:r w:rsidRPr="00B25CD8">
        <w:lastRenderedPageBreak/>
        <w:t xml:space="preserve">HHS Releases List of Mental Health Accomplishments </w:t>
      </w:r>
    </w:p>
    <w:p w14:paraId="09457C91" w14:textId="77777777" w:rsidR="00B25CD8" w:rsidRPr="00B25CD8" w:rsidRDefault="00B25CD8" w:rsidP="00B25CD8">
      <w:r w:rsidRPr="00B25CD8">
        <w:t xml:space="preserve">The U.S. Department of Health and Human Services (HHS) </w:t>
      </w:r>
      <w:hyperlink r:id="rId8" w:history="1">
        <w:r w:rsidRPr="00B25CD8">
          <w:rPr>
            <w:rStyle w:val="Hyperlink"/>
          </w:rPr>
          <w:t>released data</w:t>
        </w:r>
      </w:hyperlink>
      <w:r w:rsidRPr="00B25CD8">
        <w:t xml:space="preserve"> on the growth and investments into mental health care over the past few years. Notably, HHS invested $1.5 billion into launching 988 with over 9.5 million calls recorded since June 2022, Medicare launched mental health crisis codes for more than 65 million Medicare seniors, and Medicaid, Child Health Insurance Program, and Marketplace plans instituted nationwide mandatory appointment wait time standards for outpatient behavioral health. In addition, Medicare increased payment rates for crisis psychotherapy outside outpatient clinics by 150% the usual Physician Fee Schedule rate, the Health Resources and Services Administration (HRSA) awarded $55 million to 229 HRSA-funded health centers to expand behavioral health screening and treatment for children, the Indian Health Service through partnerships reduced opioid prescribing by over 70% and increased the availability of naloxone, and the Centers for Disease Control and Prevention (CDC) released a </w:t>
      </w:r>
      <w:hyperlink r:id="rId9" w:history="1">
        <w:r w:rsidRPr="00B25CD8">
          <w:rPr>
            <w:rStyle w:val="Hyperlink"/>
          </w:rPr>
          <w:t>Mental Health Action Guide</w:t>
        </w:r>
      </w:hyperlink>
      <w:r w:rsidRPr="00B25CD8">
        <w:t xml:space="preserve"> to help schools promote student mental health.</w:t>
      </w:r>
    </w:p>
    <w:p w14:paraId="49C86C70" w14:textId="77777777" w:rsidR="00B25CD8" w:rsidRPr="00B25CD8" w:rsidRDefault="00B25CD8" w:rsidP="00B25CD8">
      <w:r w:rsidRPr="00B25CD8">
        <w:t> </w:t>
      </w:r>
    </w:p>
    <w:p w14:paraId="28F4F382" w14:textId="77777777" w:rsidR="00B25CD8" w:rsidRPr="00B25CD8" w:rsidRDefault="00B25CD8" w:rsidP="00B25CD8">
      <w:r w:rsidRPr="00B25CD8">
        <w:t>What’s on Tap</w:t>
      </w:r>
    </w:p>
    <w:p w14:paraId="582E8E81" w14:textId="77777777" w:rsidR="00B25CD8" w:rsidRPr="00B25CD8" w:rsidRDefault="00B25CD8" w:rsidP="00B25CD8">
      <w:pPr>
        <w:numPr>
          <w:ilvl w:val="0"/>
          <w:numId w:val="4"/>
        </w:numPr>
      </w:pPr>
      <w:r w:rsidRPr="00B25CD8">
        <w:t xml:space="preserve">Telehealth continues to be a major topic of discussion on Capitol Hill. Last week, the House Energy &amp; Commerce subcommittee on health </w:t>
      </w:r>
      <w:hyperlink r:id="rId10" w:history="1">
        <w:r w:rsidRPr="00B25CD8">
          <w:rPr>
            <w:rStyle w:val="Hyperlink"/>
          </w:rPr>
          <w:t>unanimously advanced</w:t>
        </w:r>
      </w:hyperlink>
      <w:r w:rsidRPr="00B25CD8">
        <w:t xml:space="preserve"> telehealth </w:t>
      </w:r>
      <w:hyperlink r:id="rId11" w:history="1">
        <w:r w:rsidRPr="00B25CD8">
          <w:rPr>
            <w:rStyle w:val="Hyperlink"/>
          </w:rPr>
          <w:t>legislation</w:t>
        </w:r>
      </w:hyperlink>
      <w:r w:rsidRPr="00B25CD8">
        <w:t xml:space="preserve"> to the full committee that would extend key COVID-19 pandemic telehealth waivers, originally set to expire at the end of the year, for an additional for two years. However, Democratic lawmakers on the subcommittee argued that the legislation would be ineffective for underserved populations unless Republicans agree to extend the expired Affordable Connectivity Program (</w:t>
      </w:r>
      <w:hyperlink r:id="rId12" w:history="1">
        <w:r w:rsidRPr="00B25CD8">
          <w:rPr>
            <w:rStyle w:val="Hyperlink"/>
          </w:rPr>
          <w:t>ACP</w:t>
        </w:r>
      </w:hyperlink>
      <w:r w:rsidRPr="00B25CD8">
        <w:t>), which provides broadband subsidies that help connect patients to the internet. Democratic lawmakers are seeking to make the ACP permanent but have indicated they would settle for a temporary extension to allow time to work with Republicans on reforms to the program. Vice Chair of the E&amp;C Health subcommittee Larry Bucshon (R-IN) stated that Republicans are objecting to funding the ACP because they want to see reforms to the program before allocating additional funds. Republicans on the committee are participating in a bipartisan working group to develop a solution for funding the program.</w:t>
      </w:r>
    </w:p>
    <w:p w14:paraId="0D1DC142" w14:textId="77777777" w:rsidR="00B25CD8" w:rsidRPr="00B25CD8" w:rsidRDefault="00B25CD8" w:rsidP="00B25CD8">
      <w:r w:rsidRPr="00B25CD8">
        <w:t> </w:t>
      </w:r>
    </w:p>
    <w:p w14:paraId="498BC503" w14:textId="77777777" w:rsidR="00B25CD8" w:rsidRPr="00B25CD8" w:rsidRDefault="00B25CD8" w:rsidP="00B25CD8">
      <w:pPr>
        <w:numPr>
          <w:ilvl w:val="0"/>
          <w:numId w:val="5"/>
        </w:numPr>
      </w:pPr>
      <w:r w:rsidRPr="00B25CD8">
        <w:t xml:space="preserve">While the E&amp;C Health subcommittee, like the House Ways &amp; Means last week, </w:t>
      </w:r>
      <w:hyperlink r:id="rId13" w:history="1">
        <w:r w:rsidRPr="00B25CD8">
          <w:rPr>
            <w:rStyle w:val="Hyperlink"/>
          </w:rPr>
          <w:t>advanced</w:t>
        </w:r>
      </w:hyperlink>
      <w:r w:rsidRPr="00B25CD8">
        <w:t xml:space="preserve"> a two-year extension of telehealth waivers, Senate Finance Committee leaders are advocating for legislation that makes the pandemic-era telehealth flexibilities permanent before the end of the calendar year. At a </w:t>
      </w:r>
      <w:hyperlink r:id="rId14" w:history="1">
        <w:r w:rsidRPr="00B25CD8">
          <w:rPr>
            <w:rStyle w:val="Hyperlink"/>
          </w:rPr>
          <w:t>hearing</w:t>
        </w:r>
      </w:hyperlink>
      <w:r w:rsidRPr="00B25CD8">
        <w:t xml:space="preserve"> on Thursday (May 16) focused on rural health care, Senate Finance Committee Chair Ron Wyden (D-OR) said the committee could lead efforts to permanently expand telehealth to support rural communities. </w:t>
      </w:r>
    </w:p>
    <w:p w14:paraId="1211DB3C" w14:textId="77777777" w:rsidR="00B25CD8" w:rsidRPr="00B25CD8" w:rsidRDefault="00B25CD8" w:rsidP="00B25CD8">
      <w:r w:rsidRPr="00B25CD8">
        <w:t> </w:t>
      </w:r>
    </w:p>
    <w:p w14:paraId="521449CA" w14:textId="77777777" w:rsidR="00B25CD8" w:rsidRPr="00B25CD8" w:rsidRDefault="00B25CD8" w:rsidP="00B25CD8">
      <w:pPr>
        <w:numPr>
          <w:ilvl w:val="0"/>
          <w:numId w:val="6"/>
        </w:numPr>
      </w:pPr>
      <w:r w:rsidRPr="00B25CD8">
        <w:t xml:space="preserve">House Appropriations Chair Tom Cole (R-OK) has released a </w:t>
      </w:r>
      <w:hyperlink r:id="rId15" w:history="1">
        <w:r w:rsidRPr="00B25CD8">
          <w:rPr>
            <w:rStyle w:val="Hyperlink"/>
          </w:rPr>
          <w:t>proposed schedule</w:t>
        </w:r>
      </w:hyperlink>
      <w:r w:rsidRPr="00B25CD8">
        <w:t xml:space="preserve"> to mark up a dozen annual spending bills, with the goal of approving all of the fiscal 2025 measures in committee by mid-July. While the schedule may change pending formal notices, Cole plans </w:t>
      </w:r>
      <w:r w:rsidRPr="00B25CD8">
        <w:lastRenderedPageBreak/>
        <w:t xml:space="preserve">to hold a subcommittee markup of the FDA-Department of Agriculture bill June 11, the Labor-HHS bill on June 27, and a full committee markup of both bills July 10. The schedule follows the </w:t>
      </w:r>
      <w:hyperlink r:id="rId16" w:history="1">
        <w:r w:rsidRPr="00B25CD8">
          <w:rPr>
            <w:rStyle w:val="Hyperlink"/>
          </w:rPr>
          <w:t>release</w:t>
        </w:r>
      </w:hyperlink>
      <w:r w:rsidRPr="00B25CD8">
        <w:t xml:space="preserve"> of interim funding allocations for all 12 bills, which are subject to change. Republican House appropriators have set fiscal 2025 discretionary spending targets lower than previously agreed upon, setting the stage for a spending battle with the Democrat-controlled Senate.</w:t>
      </w:r>
    </w:p>
    <w:p w14:paraId="6F5F9EAD" w14:textId="77777777" w:rsidR="00B25CD8" w:rsidRPr="00B25CD8" w:rsidRDefault="00B25CD8" w:rsidP="00B25CD8">
      <w:r w:rsidRPr="00B25CD8">
        <w:t> </w:t>
      </w:r>
    </w:p>
    <w:p w14:paraId="425739F3" w14:textId="77777777" w:rsidR="00B25CD8" w:rsidRPr="00B25CD8" w:rsidRDefault="00B25CD8" w:rsidP="00B25CD8">
      <w:r w:rsidRPr="00B25CD8">
        <w:t> </w:t>
      </w:r>
    </w:p>
    <w:p w14:paraId="2756F6B8" w14:textId="70F957D7" w:rsidR="00B25CD8" w:rsidRPr="00B25CD8" w:rsidRDefault="00B25CD8" w:rsidP="00B25CD8">
      <w:r w:rsidRPr="00B25CD8">
        <w:drawing>
          <wp:inline distT="0" distB="0" distL="0" distR="0" wp14:anchorId="2AAEF7D8" wp14:editId="2AFECCD1">
            <wp:extent cx="2276475" cy="561975"/>
            <wp:effectExtent l="0" t="0" r="9525" b="9525"/>
            <wp:docPr id="831684344" name="Picture 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5" descr="A blue and white logo&#10;&#10;Description automatically generated"/>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276475" cy="561975"/>
                    </a:xfrm>
                    <a:prstGeom prst="rect">
                      <a:avLst/>
                    </a:prstGeom>
                    <a:noFill/>
                    <a:ln>
                      <a:noFill/>
                    </a:ln>
                  </pic:spPr>
                </pic:pic>
              </a:graphicData>
            </a:graphic>
          </wp:inline>
        </w:drawing>
      </w:r>
      <w:r w:rsidRPr="00B25CD8">
        <w:t xml:space="preserve">                                                                        </w:t>
      </w:r>
      <w:r w:rsidRPr="00B25CD8">
        <w:drawing>
          <wp:inline distT="0" distB="0" distL="0" distR="0" wp14:anchorId="1566D2A4" wp14:editId="0D204B8B">
            <wp:extent cx="1362075" cy="561975"/>
            <wp:effectExtent l="0" t="0" r="9525" b="9525"/>
            <wp:docPr id="411760027"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4" descr="A blue and black logo&#10;&#10;Description automatically generated"/>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362075" cy="561975"/>
                    </a:xfrm>
                    <a:prstGeom prst="rect">
                      <a:avLst/>
                    </a:prstGeom>
                    <a:noFill/>
                    <a:ln>
                      <a:noFill/>
                    </a:ln>
                  </pic:spPr>
                </pic:pic>
              </a:graphicData>
            </a:graphic>
          </wp:inline>
        </w:drawing>
      </w:r>
      <w:r w:rsidRPr="00B25CD8">
        <w:t xml:space="preserve">                                                                         </w:t>
      </w:r>
    </w:p>
    <w:p w14:paraId="4E43C9B5" w14:textId="77777777" w:rsidR="00B25CD8" w:rsidRPr="00B25CD8" w:rsidRDefault="00B25CD8" w:rsidP="00B25CD8">
      <w:r w:rsidRPr="00B25CD8">
        <w:t> </w:t>
      </w:r>
    </w:p>
    <w:p w14:paraId="199E0EEE" w14:textId="77777777" w:rsidR="00B25CD8" w:rsidRPr="00B25CD8" w:rsidRDefault="00B25CD8" w:rsidP="00B25CD8">
      <w:r w:rsidRPr="00B25CD8">
        <w:t> </w:t>
      </w:r>
    </w:p>
    <w:p w14:paraId="5FAF82B2" w14:textId="77777777" w:rsidR="00B25CD8" w:rsidRPr="00B25CD8" w:rsidRDefault="00B25CD8" w:rsidP="00B25CD8"/>
    <w:p w14:paraId="6B35D661" w14:textId="77777777" w:rsidR="00B25CD8" w:rsidRPr="00B25CD8" w:rsidRDefault="00B25CD8" w:rsidP="00B25CD8">
      <w:r w:rsidRPr="00B25CD8">
        <w:rPr>
          <w:b/>
          <w:bCs/>
        </w:rPr>
        <w:t>Brian W. Lindberg, SNA Public Policy Advisor</w:t>
      </w:r>
    </w:p>
    <w:p w14:paraId="0B6E40C7" w14:textId="77777777" w:rsidR="00B25CD8" w:rsidRPr="00B25CD8" w:rsidRDefault="00B25CD8" w:rsidP="00B25CD8">
      <w:r w:rsidRPr="00B25CD8">
        <w:rPr>
          <w:i/>
          <w:iCs/>
        </w:rPr>
        <w:t>Vice President, Health and Aging Policy</w:t>
      </w:r>
    </w:p>
    <w:p w14:paraId="1FB7B763" w14:textId="77777777" w:rsidR="00B25CD8" w:rsidRPr="00B25CD8" w:rsidRDefault="00B25CD8" w:rsidP="00B25CD8">
      <w:r w:rsidRPr="00B25CD8">
        <w:t>Healthsperien LLC</w:t>
      </w:r>
    </w:p>
    <w:p w14:paraId="66030111" w14:textId="77777777" w:rsidR="00B25CD8" w:rsidRPr="00B25CD8" w:rsidRDefault="00B25CD8" w:rsidP="00B25CD8">
      <w:hyperlink r:id="rId21" w:history="1">
        <w:r w:rsidRPr="00B25CD8">
          <w:rPr>
            <w:rStyle w:val="Hyperlink"/>
          </w:rPr>
          <w:t>blindberg@healthsperien.com</w:t>
        </w:r>
      </w:hyperlink>
      <w:r w:rsidRPr="00B25CD8">
        <w:t>  |  202-306-</w:t>
      </w:r>
      <w:proofErr w:type="gramStart"/>
      <w:r w:rsidRPr="00B25CD8">
        <w:t>6128  |</w:t>
      </w:r>
      <w:proofErr w:type="gramEnd"/>
      <w:r w:rsidRPr="00B25CD8">
        <w:t xml:space="preserve">   </w:t>
      </w:r>
      <w:hyperlink r:id="rId22" w:history="1">
        <w:r w:rsidRPr="00B25CD8">
          <w:rPr>
            <w:rStyle w:val="Hyperlink"/>
          </w:rPr>
          <w:t>www.healthsperien.com</w:t>
        </w:r>
      </w:hyperlink>
    </w:p>
    <w:p w14:paraId="1C4CDA8B" w14:textId="77777777" w:rsidR="00B25CD8" w:rsidRPr="00B25CD8" w:rsidRDefault="00B25CD8" w:rsidP="00B25CD8">
      <w:r w:rsidRPr="00B25CD8">
        <w:t xml:space="preserve">601 Massachusetts Ave., NW, Suite 520, </w:t>
      </w:r>
      <w:proofErr w:type="gramStart"/>
      <w:r w:rsidRPr="00B25CD8">
        <w:t>Washington,  DC</w:t>
      </w:r>
      <w:proofErr w:type="gramEnd"/>
      <w:r w:rsidRPr="00B25CD8">
        <w:t xml:space="preserve"> 20001-6174</w:t>
      </w:r>
    </w:p>
    <w:p w14:paraId="4B68D984" w14:textId="77777777" w:rsidR="00B25CD8" w:rsidRPr="00B25CD8" w:rsidRDefault="00B25CD8" w:rsidP="00B25CD8"/>
    <w:p w14:paraId="7EEB8FA5" w14:textId="77777777" w:rsidR="0053657B" w:rsidRDefault="0053657B"/>
    <w:sectPr w:rsidR="00536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E71784"/>
    <w:multiLevelType w:val="multilevel"/>
    <w:tmpl w:val="99A281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A55575"/>
    <w:multiLevelType w:val="multilevel"/>
    <w:tmpl w:val="616AAD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EB12C8"/>
    <w:multiLevelType w:val="multilevel"/>
    <w:tmpl w:val="88B05C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AA2DFE"/>
    <w:multiLevelType w:val="multilevel"/>
    <w:tmpl w:val="5E28B1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056394"/>
    <w:multiLevelType w:val="multilevel"/>
    <w:tmpl w:val="CCAEC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B86550"/>
    <w:multiLevelType w:val="multilevel"/>
    <w:tmpl w:val="DF706B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027781789">
    <w:abstractNumId w:val="4"/>
    <w:lvlOverride w:ilvl="0"/>
    <w:lvlOverride w:ilvl="1"/>
    <w:lvlOverride w:ilvl="2"/>
    <w:lvlOverride w:ilvl="3"/>
    <w:lvlOverride w:ilvl="4"/>
    <w:lvlOverride w:ilvl="5"/>
    <w:lvlOverride w:ilvl="6"/>
    <w:lvlOverride w:ilvl="7"/>
    <w:lvlOverride w:ilvl="8"/>
  </w:num>
  <w:num w:numId="2" w16cid:durableId="1220626522">
    <w:abstractNumId w:val="2"/>
    <w:lvlOverride w:ilvl="0"/>
    <w:lvlOverride w:ilvl="1"/>
    <w:lvlOverride w:ilvl="2"/>
    <w:lvlOverride w:ilvl="3"/>
    <w:lvlOverride w:ilvl="4"/>
    <w:lvlOverride w:ilvl="5"/>
    <w:lvlOverride w:ilvl="6"/>
    <w:lvlOverride w:ilvl="7"/>
    <w:lvlOverride w:ilvl="8"/>
  </w:num>
  <w:num w:numId="3" w16cid:durableId="1427581499">
    <w:abstractNumId w:val="5"/>
    <w:lvlOverride w:ilvl="0"/>
    <w:lvlOverride w:ilvl="1"/>
    <w:lvlOverride w:ilvl="2"/>
    <w:lvlOverride w:ilvl="3"/>
    <w:lvlOverride w:ilvl="4"/>
    <w:lvlOverride w:ilvl="5"/>
    <w:lvlOverride w:ilvl="6"/>
    <w:lvlOverride w:ilvl="7"/>
    <w:lvlOverride w:ilvl="8"/>
  </w:num>
  <w:num w:numId="4" w16cid:durableId="233855766">
    <w:abstractNumId w:val="0"/>
    <w:lvlOverride w:ilvl="0"/>
    <w:lvlOverride w:ilvl="1"/>
    <w:lvlOverride w:ilvl="2"/>
    <w:lvlOverride w:ilvl="3"/>
    <w:lvlOverride w:ilvl="4"/>
    <w:lvlOverride w:ilvl="5"/>
    <w:lvlOverride w:ilvl="6"/>
    <w:lvlOverride w:ilvl="7"/>
    <w:lvlOverride w:ilvl="8"/>
  </w:num>
  <w:num w:numId="5" w16cid:durableId="1938059070">
    <w:abstractNumId w:val="3"/>
    <w:lvlOverride w:ilvl="0"/>
    <w:lvlOverride w:ilvl="1"/>
    <w:lvlOverride w:ilvl="2"/>
    <w:lvlOverride w:ilvl="3"/>
    <w:lvlOverride w:ilvl="4"/>
    <w:lvlOverride w:ilvl="5"/>
    <w:lvlOverride w:ilvl="6"/>
    <w:lvlOverride w:ilvl="7"/>
    <w:lvlOverride w:ilvl="8"/>
  </w:num>
  <w:num w:numId="6" w16cid:durableId="76619911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CD8"/>
    <w:rsid w:val="002A3786"/>
    <w:rsid w:val="0053657B"/>
    <w:rsid w:val="00B25CD8"/>
    <w:rsid w:val="00ED4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BDBD"/>
  <w15:chartTrackingRefBased/>
  <w15:docId w15:val="{39AD1D0A-D3E7-4C12-B0C4-15A6E5A5B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5C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5C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5C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5C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5C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C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C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C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C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CD8"/>
    <w:rPr>
      <w:rFonts w:eastAsiaTheme="majorEastAsia" w:cstheme="majorBidi"/>
      <w:color w:val="272727" w:themeColor="text1" w:themeTint="D8"/>
    </w:rPr>
  </w:style>
  <w:style w:type="paragraph" w:styleId="Title">
    <w:name w:val="Title"/>
    <w:basedOn w:val="Normal"/>
    <w:next w:val="Normal"/>
    <w:link w:val="TitleChar"/>
    <w:uiPriority w:val="10"/>
    <w:qFormat/>
    <w:rsid w:val="00B25C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C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C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CD8"/>
    <w:pPr>
      <w:spacing w:before="160"/>
      <w:jc w:val="center"/>
    </w:pPr>
    <w:rPr>
      <w:i/>
      <w:iCs/>
      <w:color w:val="404040" w:themeColor="text1" w:themeTint="BF"/>
    </w:rPr>
  </w:style>
  <w:style w:type="character" w:customStyle="1" w:styleId="QuoteChar">
    <w:name w:val="Quote Char"/>
    <w:basedOn w:val="DefaultParagraphFont"/>
    <w:link w:val="Quote"/>
    <w:uiPriority w:val="29"/>
    <w:rsid w:val="00B25CD8"/>
    <w:rPr>
      <w:i/>
      <w:iCs/>
      <w:color w:val="404040" w:themeColor="text1" w:themeTint="BF"/>
    </w:rPr>
  </w:style>
  <w:style w:type="paragraph" w:styleId="ListParagraph">
    <w:name w:val="List Paragraph"/>
    <w:basedOn w:val="Normal"/>
    <w:uiPriority w:val="34"/>
    <w:qFormat/>
    <w:rsid w:val="00B25CD8"/>
    <w:pPr>
      <w:ind w:left="720"/>
      <w:contextualSpacing/>
    </w:pPr>
  </w:style>
  <w:style w:type="character" w:styleId="IntenseEmphasis">
    <w:name w:val="Intense Emphasis"/>
    <w:basedOn w:val="DefaultParagraphFont"/>
    <w:uiPriority w:val="21"/>
    <w:qFormat/>
    <w:rsid w:val="00B25CD8"/>
    <w:rPr>
      <w:i/>
      <w:iCs/>
      <w:color w:val="0F4761" w:themeColor="accent1" w:themeShade="BF"/>
    </w:rPr>
  </w:style>
  <w:style w:type="paragraph" w:styleId="IntenseQuote">
    <w:name w:val="Intense Quote"/>
    <w:basedOn w:val="Normal"/>
    <w:next w:val="Normal"/>
    <w:link w:val="IntenseQuoteChar"/>
    <w:uiPriority w:val="30"/>
    <w:qFormat/>
    <w:rsid w:val="00B25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CD8"/>
    <w:rPr>
      <w:i/>
      <w:iCs/>
      <w:color w:val="0F4761" w:themeColor="accent1" w:themeShade="BF"/>
    </w:rPr>
  </w:style>
  <w:style w:type="character" w:styleId="IntenseReference">
    <w:name w:val="Intense Reference"/>
    <w:basedOn w:val="DefaultParagraphFont"/>
    <w:uiPriority w:val="32"/>
    <w:qFormat/>
    <w:rsid w:val="00B25CD8"/>
    <w:rPr>
      <w:b/>
      <w:bCs/>
      <w:smallCaps/>
      <w:color w:val="0F4761" w:themeColor="accent1" w:themeShade="BF"/>
      <w:spacing w:val="5"/>
    </w:rPr>
  </w:style>
  <w:style w:type="character" w:styleId="Hyperlink">
    <w:name w:val="Hyperlink"/>
    <w:basedOn w:val="DefaultParagraphFont"/>
    <w:uiPriority w:val="99"/>
    <w:unhideWhenUsed/>
    <w:rsid w:val="00B25CD8"/>
    <w:rPr>
      <w:color w:val="467886" w:themeColor="hyperlink"/>
      <w:u w:val="single"/>
    </w:rPr>
  </w:style>
  <w:style w:type="character" w:styleId="UnresolvedMention">
    <w:name w:val="Unresolved Mention"/>
    <w:basedOn w:val="DefaultParagraphFont"/>
    <w:uiPriority w:val="99"/>
    <w:semiHidden/>
    <w:unhideWhenUsed/>
    <w:rsid w:val="00B25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0588">
      <w:bodyDiv w:val="1"/>
      <w:marLeft w:val="0"/>
      <w:marRight w:val="0"/>
      <w:marTop w:val="0"/>
      <w:marBottom w:val="0"/>
      <w:divBdr>
        <w:top w:val="none" w:sz="0" w:space="0" w:color="auto"/>
        <w:left w:val="none" w:sz="0" w:space="0" w:color="auto"/>
        <w:bottom w:val="none" w:sz="0" w:space="0" w:color="auto"/>
        <w:right w:val="none" w:sz="0" w:space="0" w:color="auto"/>
      </w:divBdr>
    </w:div>
    <w:div w:id="63603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about/news/2024/05/16/hhs-mental-health-accomplishments-numbers.html" TargetMode="External"/><Relationship Id="rId13" Type="http://schemas.openxmlformats.org/officeDocument/2006/relationships/hyperlink" Target="https://waysandmeans.house.gov/ways-and-means-protects-and-expands-telehealth-access-health-care-in-rural-and-underserved-communities/" TargetMode="External"/><Relationship Id="rId18" Type="http://schemas.openxmlformats.org/officeDocument/2006/relationships/image" Target="cid:image006.jpg@01DAAADC.3DEB9FB0" TargetMode="External"/><Relationship Id="rId3" Type="http://schemas.openxmlformats.org/officeDocument/2006/relationships/settings" Target="settings.xml"/><Relationship Id="rId21" Type="http://schemas.openxmlformats.org/officeDocument/2006/relationships/hyperlink" Target="mailto:blindberg@healthsperien.com" TargetMode="External"/><Relationship Id="rId7" Type="http://schemas.openxmlformats.org/officeDocument/2006/relationships/hyperlink" Target="https://kffhealthnews.org/news/article/medicaid-unwinding-people-with-disabilities-home-health-benefits/" TargetMode="External"/><Relationship Id="rId12" Type="http://schemas.openxmlformats.org/officeDocument/2006/relationships/hyperlink" Target="https://www.fcc.gov/acp"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appropriations.house.gov/news/press-releases/cole-previews-interim-fiscal-year-2025-subcommittee-allocations" TargetMode="External"/><Relationship Id="rId20" Type="http://schemas.openxmlformats.org/officeDocument/2006/relationships/image" Target="cid:image007.png@01DAAADC.3DEB9FB0" TargetMode="External"/><Relationship Id="rId1" Type="http://schemas.openxmlformats.org/officeDocument/2006/relationships/numbering" Target="numbering.xml"/><Relationship Id="rId6" Type="http://schemas.openxmlformats.org/officeDocument/2006/relationships/hyperlink" Target="https://aspe.hhs.gov/sites/default/files/documents/d70dae84a7988837d3819529988d4919/telehealth-disability-ib.pdf" TargetMode="External"/><Relationship Id="rId11" Type="http://schemas.openxmlformats.org/officeDocument/2006/relationships/hyperlink" Target="https://www.congress.gov/bill/118th-congress/house-bill/7623?s=1&amp;r=8"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appropriations.house.gov/news/press-releases/cole-releases-fiscal-year-2025-markup-schedule" TargetMode="External"/><Relationship Id="rId23" Type="http://schemas.openxmlformats.org/officeDocument/2006/relationships/fontTable" Target="fontTable.xml"/><Relationship Id="rId10" Type="http://schemas.openxmlformats.org/officeDocument/2006/relationships/hyperlink" Target="https://energycommerce.house.gov/posts/health-subcommittee-markup-recap-e-and-c-advances-legislation-to-strengthen-america-s-health-care-system"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cdc.gov/healthyyouth/mental-health-action-guide/pdf/DASH_MH_Action_Guide_508.pdf" TargetMode="External"/><Relationship Id="rId14" Type="http://schemas.openxmlformats.org/officeDocument/2006/relationships/hyperlink" Target="https://www.finance.senate.gov/hearings/rural-health-care-supporting-lives-and-improving-communities" TargetMode="External"/><Relationship Id="rId22" Type="http://schemas.openxmlformats.org/officeDocument/2006/relationships/hyperlink" Target="http://www.healthsperie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1114</Words>
  <Characters>6352</Characters>
  <Application>Microsoft Office Word</Application>
  <DocSecurity>0</DocSecurity>
  <Lines>52</Lines>
  <Paragraphs>14</Paragraphs>
  <ScaleCrop>false</ScaleCrop>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Lindberg</dc:creator>
  <cp:keywords/>
  <dc:description/>
  <cp:lastModifiedBy>Brian Lindberg</cp:lastModifiedBy>
  <cp:revision>1</cp:revision>
  <dcterms:created xsi:type="dcterms:W3CDTF">2024-07-17T18:17:00Z</dcterms:created>
  <dcterms:modified xsi:type="dcterms:W3CDTF">2024-07-17T18:19:00Z</dcterms:modified>
</cp:coreProperties>
</file>