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0607A" w14:textId="307DDDFD" w:rsidR="00226ACA" w:rsidRPr="00330820" w:rsidRDefault="00226ACA" w:rsidP="00226ACA">
      <w:pPr>
        <w:pStyle w:val="Heading1"/>
        <w:spacing w:after="240"/>
        <w:rPr>
          <w:rFonts w:ascii="Poppins SemiBold" w:hAnsi="Poppins SemiBold" w:cs="Poppins SemiBold"/>
          <w:sz w:val="32"/>
          <w:szCs w:val="32"/>
        </w:rPr>
      </w:pPr>
      <w:r w:rsidRPr="00330820">
        <w:rPr>
          <w:rFonts w:ascii="Poppins SemiBold" w:hAnsi="Poppins SemiBold" w:cs="Poppins SemiBold"/>
          <w:noProof/>
          <w:sz w:val="32"/>
          <w:szCs w:val="32"/>
        </w:rPr>
        <w:drawing>
          <wp:anchor distT="0" distB="0" distL="114300" distR="114300" simplePos="0" relativeHeight="251659264" behindDoc="0" locked="0" layoutInCell="1" allowOverlap="1" wp14:anchorId="230AA540" wp14:editId="30547892">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F260C" w:rsidRPr="00330820">
        <w:rPr>
          <w:rFonts w:ascii="Poppins SemiBold" w:hAnsi="Poppins SemiBold" w:cs="Poppins SemiBold"/>
          <w:noProof/>
          <w:sz w:val="32"/>
          <w:szCs w:val="32"/>
        </w:rPr>
        <w:t>June</w:t>
      </w:r>
      <w:r w:rsidRPr="00330820">
        <w:rPr>
          <w:rFonts w:ascii="Poppins SemiBold" w:hAnsi="Poppins SemiBold" w:cs="Poppins SemiBold"/>
          <w:noProof/>
          <w:sz w:val="32"/>
          <w:szCs w:val="32"/>
        </w:rPr>
        <w:t xml:space="preserve"> </w:t>
      </w:r>
      <w:r w:rsidR="004F260C" w:rsidRPr="00330820">
        <w:rPr>
          <w:rFonts w:ascii="Poppins SemiBold" w:hAnsi="Poppins SemiBold" w:cs="Poppins SemiBold"/>
          <w:noProof/>
          <w:sz w:val="32"/>
          <w:szCs w:val="32"/>
        </w:rPr>
        <w:t>3</w:t>
      </w:r>
      <w:r w:rsidRPr="00330820">
        <w:rPr>
          <w:rFonts w:ascii="Poppins SemiBold" w:hAnsi="Poppins SemiBold" w:cs="Poppins SemiBold"/>
          <w:noProof/>
          <w:sz w:val="32"/>
          <w:szCs w:val="32"/>
        </w:rPr>
        <w:t>, 2024</w:t>
      </w:r>
    </w:p>
    <w:p w14:paraId="5A33AD02" w14:textId="593BBCF9" w:rsidR="007C09BF" w:rsidRDefault="007C09BF" w:rsidP="00A73302">
      <w:pPr>
        <w:pStyle w:val="ListParagraph"/>
        <w:numPr>
          <w:ilvl w:val="0"/>
          <w:numId w:val="1"/>
        </w:numPr>
        <w:spacing w:before="240" w:after="0"/>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 xml:space="preserve">ASPE Publishes the 2023 Report on Patient-Centered Outcomes Research </w:t>
      </w:r>
    </w:p>
    <w:p w14:paraId="5C657199" w14:textId="479D16DB" w:rsidR="007C09BF" w:rsidRDefault="007C09BF" w:rsidP="007C09BF">
      <w:pPr>
        <w:pStyle w:val="ListParagraph"/>
        <w:spacing w:before="240" w:after="0"/>
        <w:ind w:left="360"/>
        <w:rPr>
          <w:rFonts w:cs="Poppins"/>
          <w:color w:val="000000" w:themeColor="text1"/>
          <w:szCs w:val="20"/>
        </w:rPr>
      </w:pPr>
      <w:r>
        <w:rPr>
          <w:rFonts w:cs="Poppins"/>
          <w:color w:val="000000" w:themeColor="text1"/>
          <w:szCs w:val="20"/>
        </w:rPr>
        <w:t xml:space="preserve">On May 20, 2024, the Office of the Assistant Secretary for Planning and Evaluation (ASPE) </w:t>
      </w:r>
      <w:hyperlink r:id="rId8" w:history="1">
        <w:r w:rsidRPr="007C09BF">
          <w:rPr>
            <w:rStyle w:val="Hyperlink"/>
            <w:rFonts w:cs="Poppins"/>
            <w:szCs w:val="20"/>
          </w:rPr>
          <w:t>published</w:t>
        </w:r>
      </w:hyperlink>
      <w:r>
        <w:rPr>
          <w:rFonts w:cs="Poppins"/>
          <w:color w:val="000000" w:themeColor="text1"/>
          <w:szCs w:val="20"/>
        </w:rPr>
        <w:t xml:space="preserve"> the 2023 Office of the Secretary Patient-Centered Outcomes Research Trust Fund (OS-PCORTF) </w:t>
      </w:r>
      <w:hyperlink r:id="rId9" w:history="1">
        <w:r w:rsidRPr="007C09BF">
          <w:rPr>
            <w:rStyle w:val="Hyperlink"/>
            <w:rFonts w:cs="Poppins"/>
            <w:szCs w:val="20"/>
          </w:rPr>
          <w:t>Annual Report</w:t>
        </w:r>
      </w:hyperlink>
      <w:r>
        <w:rPr>
          <w:rFonts w:cs="Poppins"/>
          <w:color w:val="000000" w:themeColor="text1"/>
          <w:szCs w:val="20"/>
        </w:rPr>
        <w:t>. The Annual Report highlights the accomplishments of 36 multi-agency projects that supports the four goals of the strategy plan:</w:t>
      </w:r>
    </w:p>
    <w:p w14:paraId="616B5A66" w14:textId="5CDCF63F" w:rsidR="007C09BF" w:rsidRDefault="007C09BF" w:rsidP="007C09BF">
      <w:pPr>
        <w:pStyle w:val="ListParagraph"/>
        <w:numPr>
          <w:ilvl w:val="1"/>
          <w:numId w:val="1"/>
        </w:numPr>
        <w:spacing w:before="240" w:after="0"/>
        <w:rPr>
          <w:rFonts w:cs="Poppins"/>
          <w:color w:val="000000" w:themeColor="text1"/>
          <w:szCs w:val="20"/>
        </w:rPr>
      </w:pPr>
      <w:r>
        <w:rPr>
          <w:rFonts w:cs="Poppins"/>
          <w:color w:val="000000" w:themeColor="text1"/>
          <w:szCs w:val="20"/>
        </w:rPr>
        <w:t>Data capacity for national health priorities</w:t>
      </w:r>
    </w:p>
    <w:p w14:paraId="57920B25" w14:textId="2497C9F2" w:rsidR="007C09BF" w:rsidRDefault="007C09BF" w:rsidP="007C09BF">
      <w:pPr>
        <w:pStyle w:val="ListParagraph"/>
        <w:numPr>
          <w:ilvl w:val="1"/>
          <w:numId w:val="1"/>
        </w:numPr>
        <w:spacing w:before="240" w:after="0"/>
        <w:rPr>
          <w:rFonts w:cs="Poppins"/>
          <w:color w:val="000000" w:themeColor="text1"/>
          <w:szCs w:val="20"/>
        </w:rPr>
      </w:pPr>
      <w:r>
        <w:rPr>
          <w:rFonts w:cs="Poppins"/>
          <w:color w:val="000000" w:themeColor="text1"/>
          <w:szCs w:val="20"/>
        </w:rPr>
        <w:t>Data standards and linkages for longitudinal research</w:t>
      </w:r>
    </w:p>
    <w:p w14:paraId="54CD9F3B" w14:textId="045D6045" w:rsidR="007C09BF" w:rsidRDefault="007C09BF" w:rsidP="007C09BF">
      <w:pPr>
        <w:pStyle w:val="ListParagraph"/>
        <w:numPr>
          <w:ilvl w:val="1"/>
          <w:numId w:val="1"/>
        </w:numPr>
        <w:spacing w:before="240" w:after="0"/>
        <w:rPr>
          <w:rFonts w:cs="Poppins"/>
          <w:color w:val="000000" w:themeColor="text1"/>
          <w:szCs w:val="20"/>
        </w:rPr>
      </w:pPr>
      <w:r>
        <w:rPr>
          <w:rFonts w:cs="Poppins"/>
          <w:color w:val="000000" w:themeColor="text1"/>
          <w:szCs w:val="20"/>
        </w:rPr>
        <w:t>Technology solutions to advance research</w:t>
      </w:r>
    </w:p>
    <w:p w14:paraId="278364B4" w14:textId="280597CC" w:rsidR="007C09BF" w:rsidRDefault="007C09BF" w:rsidP="007C09BF">
      <w:pPr>
        <w:pStyle w:val="ListParagraph"/>
        <w:numPr>
          <w:ilvl w:val="1"/>
          <w:numId w:val="1"/>
        </w:numPr>
        <w:spacing w:before="240" w:after="0"/>
        <w:rPr>
          <w:rFonts w:cs="Poppins"/>
          <w:color w:val="000000" w:themeColor="text1"/>
          <w:szCs w:val="20"/>
        </w:rPr>
      </w:pPr>
      <w:r>
        <w:rPr>
          <w:rFonts w:cs="Poppins"/>
          <w:color w:val="000000" w:themeColor="text1"/>
          <w:szCs w:val="20"/>
        </w:rPr>
        <w:t xml:space="preserve">Person-centeredness, inclusion, and equity </w:t>
      </w:r>
    </w:p>
    <w:p w14:paraId="1D849A52" w14:textId="686BEB3F" w:rsidR="007C09BF" w:rsidRDefault="007C09BF" w:rsidP="007C09BF">
      <w:pPr>
        <w:pStyle w:val="ListParagraph"/>
        <w:spacing w:before="240" w:after="0"/>
        <w:ind w:left="360"/>
        <w:rPr>
          <w:rFonts w:cs="Poppins"/>
          <w:color w:val="000000" w:themeColor="text1"/>
          <w:szCs w:val="20"/>
        </w:rPr>
      </w:pPr>
      <w:r>
        <w:rPr>
          <w:rFonts w:cs="Poppins"/>
          <w:color w:val="000000" w:themeColor="text1"/>
          <w:szCs w:val="20"/>
        </w:rPr>
        <w:t xml:space="preserve">Within the fourth goal, the following projects were either new in FY 2023 or in progress in FY 2023: </w:t>
      </w:r>
      <w:hyperlink r:id="rId10" w:history="1">
        <w:r w:rsidRPr="007C09BF">
          <w:rPr>
            <w:rStyle w:val="Hyperlink"/>
            <w:rFonts w:cs="Poppins"/>
            <w:szCs w:val="20"/>
          </w:rPr>
          <w:t>Engaging People with Intellectual and Developmental Disabilities (ID/DD) to Enhance Functional Disability Representation in Point of Care Settings (CDC/NCBDDDD)</w:t>
        </w:r>
      </w:hyperlink>
      <w:r>
        <w:rPr>
          <w:rFonts w:cs="Poppins"/>
          <w:color w:val="000000" w:themeColor="text1"/>
          <w:szCs w:val="20"/>
        </w:rPr>
        <w:t xml:space="preserve"> and </w:t>
      </w:r>
      <w:hyperlink r:id="rId11" w:history="1">
        <w:r w:rsidRPr="007C09BF">
          <w:rPr>
            <w:rStyle w:val="Hyperlink"/>
            <w:rFonts w:cs="Poppins"/>
            <w:szCs w:val="20"/>
          </w:rPr>
          <w:t>Dataset on Intellectual and Developmental Disabilities: Linking Data to Enhance Person-Centered Outcomes Research</w:t>
        </w:r>
      </w:hyperlink>
      <w:r>
        <w:rPr>
          <w:rFonts w:cs="Poppins"/>
          <w:color w:val="000000" w:themeColor="text1"/>
          <w:szCs w:val="20"/>
        </w:rPr>
        <w:t xml:space="preserve">. </w:t>
      </w:r>
    </w:p>
    <w:p w14:paraId="58F381C6" w14:textId="77777777" w:rsidR="007C09BF" w:rsidRPr="007C09BF" w:rsidRDefault="007C09BF" w:rsidP="007C09BF">
      <w:pPr>
        <w:pStyle w:val="ListParagraph"/>
        <w:spacing w:before="240" w:after="0"/>
        <w:ind w:left="360"/>
        <w:rPr>
          <w:rFonts w:cs="Poppins"/>
          <w:color w:val="000000" w:themeColor="text1"/>
          <w:szCs w:val="20"/>
        </w:rPr>
      </w:pPr>
    </w:p>
    <w:p w14:paraId="614A4555" w14:textId="0B50555A" w:rsidR="00DA483A" w:rsidRDefault="00DA483A" w:rsidP="00A73302">
      <w:pPr>
        <w:pStyle w:val="ListParagraph"/>
        <w:numPr>
          <w:ilvl w:val="0"/>
          <w:numId w:val="1"/>
        </w:numPr>
        <w:spacing w:before="240" w:after="0"/>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GAO Releases Report on People with Disabilities: Information on the Health Care Workforce and Provider Training</w:t>
      </w:r>
    </w:p>
    <w:p w14:paraId="74060595" w14:textId="46BECA1C" w:rsidR="00DA483A" w:rsidRDefault="00DA483A" w:rsidP="00DA483A">
      <w:pPr>
        <w:pStyle w:val="ListParagraph"/>
        <w:spacing w:before="240" w:after="0"/>
        <w:ind w:left="360"/>
        <w:rPr>
          <w:rFonts w:cs="Poppins"/>
          <w:szCs w:val="20"/>
        </w:rPr>
      </w:pPr>
      <w:r>
        <w:rPr>
          <w:rFonts w:cs="Poppins"/>
          <w:szCs w:val="20"/>
        </w:rPr>
        <w:t xml:space="preserve">On May 30, 2024, the U.S. Government Accountability Office (GAO) publicly </w:t>
      </w:r>
      <w:hyperlink r:id="rId12" w:history="1">
        <w:r w:rsidRPr="00C6549F">
          <w:rPr>
            <w:rStyle w:val="Hyperlink"/>
            <w:rFonts w:cs="Poppins"/>
            <w:szCs w:val="20"/>
          </w:rPr>
          <w:t>released</w:t>
        </w:r>
      </w:hyperlink>
      <w:r>
        <w:rPr>
          <w:rFonts w:cs="Poppins"/>
          <w:szCs w:val="20"/>
        </w:rPr>
        <w:t xml:space="preserve"> a report on the prevalence of people with disabilities in the health care workforce and how providers are trained to meet the health needs of people with disabilities. This report describes the prevalence of people with disabilities in the U.S. by types of disabilities, employment status, and certain occupation groups. It also describes examples and stakeholder perspectives related to the training providers receive to meet the health care needs of people with disabilities. Through stakeholder interviews, GAO found that disability training for health care providers is not widely required or standardized. Stakeholders identified best practices for disability training, which include: </w:t>
      </w:r>
    </w:p>
    <w:p w14:paraId="580218E9" w14:textId="107C6EA2" w:rsidR="00DA483A" w:rsidRDefault="00DA483A" w:rsidP="00DA483A">
      <w:pPr>
        <w:pStyle w:val="ListParagraph"/>
        <w:numPr>
          <w:ilvl w:val="1"/>
          <w:numId w:val="1"/>
        </w:numPr>
        <w:spacing w:before="240" w:after="0"/>
        <w:rPr>
          <w:rFonts w:cs="Poppins"/>
          <w:szCs w:val="20"/>
        </w:rPr>
      </w:pPr>
      <w:r>
        <w:rPr>
          <w:rFonts w:cs="Poppins"/>
          <w:szCs w:val="20"/>
        </w:rPr>
        <w:lastRenderedPageBreak/>
        <w:t xml:space="preserve">Incorporate disability content into existing </w:t>
      </w:r>
      <w:proofErr w:type="gramStart"/>
      <w:r>
        <w:rPr>
          <w:rFonts w:cs="Poppins"/>
          <w:szCs w:val="20"/>
        </w:rPr>
        <w:t>training</w:t>
      </w:r>
      <w:proofErr w:type="gramEnd"/>
    </w:p>
    <w:p w14:paraId="5A7915C9" w14:textId="06219522" w:rsidR="00DA483A" w:rsidRDefault="00DA483A" w:rsidP="00DA483A">
      <w:pPr>
        <w:pStyle w:val="ListParagraph"/>
        <w:numPr>
          <w:ilvl w:val="1"/>
          <w:numId w:val="1"/>
        </w:numPr>
        <w:spacing w:before="240" w:after="0"/>
        <w:rPr>
          <w:rFonts w:cs="Poppins"/>
          <w:szCs w:val="20"/>
        </w:rPr>
      </w:pPr>
      <w:r>
        <w:rPr>
          <w:rFonts w:cs="Poppins"/>
          <w:szCs w:val="20"/>
        </w:rPr>
        <w:t xml:space="preserve">Offer direct engagement with the disability </w:t>
      </w:r>
      <w:proofErr w:type="gramStart"/>
      <w:r>
        <w:rPr>
          <w:rFonts w:cs="Poppins"/>
          <w:szCs w:val="20"/>
        </w:rPr>
        <w:t>community</w:t>
      </w:r>
      <w:proofErr w:type="gramEnd"/>
    </w:p>
    <w:p w14:paraId="79B84C4C" w14:textId="7804E841" w:rsidR="00DA483A" w:rsidRDefault="00DA483A" w:rsidP="00DA483A">
      <w:pPr>
        <w:pStyle w:val="ListParagraph"/>
        <w:numPr>
          <w:ilvl w:val="1"/>
          <w:numId w:val="1"/>
        </w:numPr>
        <w:spacing w:before="240" w:after="0"/>
        <w:rPr>
          <w:rFonts w:cs="Poppins"/>
          <w:szCs w:val="20"/>
        </w:rPr>
      </w:pPr>
      <w:r>
        <w:rPr>
          <w:rFonts w:cs="Poppins"/>
          <w:szCs w:val="20"/>
        </w:rPr>
        <w:t>Target provider bias and disability stereotypes</w:t>
      </w:r>
    </w:p>
    <w:p w14:paraId="45E3F192" w14:textId="77777777" w:rsidR="00DA483A" w:rsidRPr="00DA483A" w:rsidRDefault="00DA483A" w:rsidP="00DA483A">
      <w:pPr>
        <w:pStyle w:val="ListParagraph"/>
        <w:spacing w:before="240" w:after="0"/>
        <w:ind w:left="1080"/>
        <w:rPr>
          <w:rFonts w:cs="Poppins"/>
          <w:szCs w:val="20"/>
        </w:rPr>
      </w:pPr>
    </w:p>
    <w:p w14:paraId="01DF4A46" w14:textId="2151FC56" w:rsidR="004B29FC" w:rsidRPr="00CF61A3" w:rsidRDefault="00CF61A3" w:rsidP="00A73302">
      <w:pPr>
        <w:pStyle w:val="ListParagraph"/>
        <w:numPr>
          <w:ilvl w:val="0"/>
          <w:numId w:val="1"/>
        </w:numPr>
        <w:spacing w:before="240" w:after="0"/>
        <w:rPr>
          <w:rFonts w:ascii="Poppins Medium" w:hAnsi="Poppins Medium" w:cs="Poppins Medium"/>
          <w:color w:val="0F4761" w:themeColor="accent1" w:themeShade="BF"/>
          <w:sz w:val="24"/>
          <w:szCs w:val="24"/>
        </w:rPr>
      </w:pPr>
      <w:r w:rsidRPr="00CF61A3">
        <w:rPr>
          <w:rFonts w:ascii="Poppins Medium" w:hAnsi="Poppins Medium" w:cs="Poppins Medium"/>
          <w:color w:val="0F4761" w:themeColor="accent1" w:themeShade="BF"/>
          <w:sz w:val="24"/>
          <w:szCs w:val="24"/>
        </w:rPr>
        <w:t>Sens. C</w:t>
      </w:r>
      <w:r w:rsidR="004B29FC" w:rsidRPr="00CF61A3">
        <w:rPr>
          <w:rFonts w:ascii="Poppins Medium" w:hAnsi="Poppins Medium" w:cs="Poppins Medium"/>
          <w:color w:val="0F4761" w:themeColor="accent1" w:themeShade="BF"/>
          <w:sz w:val="24"/>
          <w:szCs w:val="24"/>
        </w:rPr>
        <w:t xml:space="preserve">asey </w:t>
      </w:r>
      <w:r w:rsidRPr="00CF61A3">
        <w:rPr>
          <w:rFonts w:ascii="Poppins Medium" w:hAnsi="Poppins Medium" w:cs="Poppins Medium"/>
          <w:color w:val="0F4761" w:themeColor="accent1" w:themeShade="BF"/>
          <w:sz w:val="24"/>
          <w:szCs w:val="24"/>
        </w:rPr>
        <w:t xml:space="preserve">and Baldwin </w:t>
      </w:r>
      <w:r w:rsidR="004B29FC" w:rsidRPr="00CF61A3">
        <w:rPr>
          <w:rFonts w:ascii="Poppins Medium" w:hAnsi="Poppins Medium" w:cs="Poppins Medium"/>
          <w:color w:val="0F4761" w:themeColor="accent1" w:themeShade="BF"/>
          <w:sz w:val="24"/>
          <w:szCs w:val="24"/>
        </w:rPr>
        <w:t xml:space="preserve">Introduce </w:t>
      </w:r>
      <w:r w:rsidRPr="00CF61A3">
        <w:rPr>
          <w:rFonts w:ascii="Poppins Medium" w:hAnsi="Poppins Medium" w:cs="Poppins Medium"/>
          <w:color w:val="0F4761" w:themeColor="accent1" w:themeShade="BF"/>
          <w:sz w:val="24"/>
          <w:szCs w:val="24"/>
        </w:rPr>
        <w:t xml:space="preserve">Legislation to Support Family Caregivers </w:t>
      </w:r>
      <w:r w:rsidR="004B29FC" w:rsidRPr="00CF61A3">
        <w:rPr>
          <w:rFonts w:ascii="Poppins Medium" w:hAnsi="Poppins Medium" w:cs="Poppins Medium"/>
          <w:color w:val="0F4761" w:themeColor="accent1" w:themeShade="BF"/>
          <w:sz w:val="24"/>
          <w:szCs w:val="24"/>
        </w:rPr>
        <w:t xml:space="preserve"> </w:t>
      </w:r>
    </w:p>
    <w:p w14:paraId="69AA302B" w14:textId="77777777" w:rsidR="00F566BA" w:rsidRPr="00F566BA" w:rsidRDefault="00F566BA" w:rsidP="00F566BA">
      <w:pPr>
        <w:pStyle w:val="paragraph"/>
        <w:spacing w:before="0" w:beforeAutospacing="0" w:after="0" w:afterAutospacing="0"/>
        <w:ind w:left="360"/>
        <w:textAlignment w:val="baseline"/>
        <w:rPr>
          <w:rStyle w:val="eop"/>
          <w:rFonts w:ascii="Poppins" w:hAnsi="Poppins" w:cs="Poppins"/>
          <w:color w:val="000000"/>
          <w:sz w:val="20"/>
          <w:szCs w:val="20"/>
        </w:rPr>
      </w:pPr>
      <w:r w:rsidRPr="00F566BA">
        <w:rPr>
          <w:rStyle w:val="normaltextrun"/>
          <w:rFonts w:ascii="Poppins" w:eastAsiaTheme="majorEastAsia" w:hAnsi="Poppins" w:cs="Poppins"/>
          <w:color w:val="000000"/>
          <w:sz w:val="20"/>
          <w:szCs w:val="20"/>
          <w:shd w:val="clear" w:color="auto" w:fill="FFFFFF"/>
        </w:rPr>
        <w:t xml:space="preserve">Senator Collins (R-ME) and Senator Baldwin (D-WI) introduced the </w:t>
      </w:r>
      <w:hyperlink r:id="rId13" w:tgtFrame="_blank" w:history="1">
        <w:r w:rsidRPr="00F566BA">
          <w:rPr>
            <w:rStyle w:val="normaltextrun"/>
            <w:rFonts w:ascii="Poppins" w:eastAsiaTheme="majorEastAsia" w:hAnsi="Poppins" w:cs="Poppins"/>
            <w:color w:val="156082" w:themeColor="accent1"/>
            <w:sz w:val="20"/>
            <w:szCs w:val="20"/>
            <w:u w:val="single"/>
            <w:shd w:val="clear" w:color="auto" w:fill="FFFFFF"/>
          </w:rPr>
          <w:t>Lifespan Respite Care Reauthorization Act of 2024</w:t>
        </w:r>
      </w:hyperlink>
      <w:r w:rsidRPr="00F566BA">
        <w:rPr>
          <w:rStyle w:val="normaltextrun"/>
          <w:rFonts w:ascii="Poppins" w:eastAsiaTheme="majorEastAsia" w:hAnsi="Poppins" w:cs="Poppins"/>
          <w:color w:val="000000"/>
          <w:sz w:val="20"/>
          <w:szCs w:val="20"/>
          <w:shd w:val="clear" w:color="auto" w:fill="FFFFFF"/>
        </w:rPr>
        <w:t xml:space="preserve">. This bill expands grant funded program access to minors acting as unpaid family caregivers. Additionally, it reauthorizes funding for programming for Fiscal Years 2025 through 2029. The bill has been referred to the Senate Health, Education, Labor, and </w:t>
      </w:r>
      <w:r w:rsidRPr="00F566BA">
        <w:rPr>
          <w:rStyle w:val="normaltextrun"/>
          <w:rFonts w:ascii="Poppins" w:eastAsiaTheme="majorEastAsia" w:hAnsi="Poppins" w:cs="Poppins"/>
          <w:color w:val="000000" w:themeColor="text1"/>
          <w:sz w:val="20"/>
          <w:szCs w:val="20"/>
          <w:shd w:val="clear" w:color="auto" w:fill="FFFFFF"/>
        </w:rPr>
        <w:t xml:space="preserve">Pensions </w:t>
      </w:r>
      <w:r w:rsidRPr="00F566BA">
        <w:rPr>
          <w:rStyle w:val="normaltextrun"/>
          <w:rFonts w:ascii="Poppins" w:eastAsiaTheme="majorEastAsia" w:hAnsi="Poppins" w:cs="Poppins"/>
          <w:color w:val="000000"/>
          <w:sz w:val="20"/>
          <w:szCs w:val="20"/>
          <w:shd w:val="clear" w:color="auto" w:fill="FFFFFF"/>
        </w:rPr>
        <w:t>Committee. </w:t>
      </w:r>
      <w:r w:rsidRPr="00F566BA">
        <w:rPr>
          <w:rStyle w:val="eop"/>
          <w:rFonts w:ascii="Poppins" w:eastAsiaTheme="majorEastAsia" w:hAnsi="Poppins" w:cs="Poppins"/>
          <w:color w:val="000000"/>
          <w:sz w:val="20"/>
          <w:szCs w:val="20"/>
          <w:shd w:val="clear" w:color="auto" w:fill="FFFFFF"/>
        </w:rPr>
        <w:t> </w:t>
      </w:r>
    </w:p>
    <w:p w14:paraId="54DF256F" w14:textId="49A12A7D" w:rsidR="00F566BA" w:rsidRDefault="00F566BA" w:rsidP="00F566BA">
      <w:pPr>
        <w:pStyle w:val="ListParagraph"/>
        <w:numPr>
          <w:ilvl w:val="0"/>
          <w:numId w:val="1"/>
        </w:numPr>
        <w:spacing w:before="240" w:after="0"/>
        <w:rPr>
          <w:rFonts w:ascii="Poppins Medium" w:hAnsi="Poppins Medium" w:cs="Poppins Medium"/>
          <w:color w:val="0F4761" w:themeColor="accent1" w:themeShade="BF"/>
          <w:sz w:val="24"/>
          <w:szCs w:val="24"/>
        </w:rPr>
      </w:pPr>
      <w:r w:rsidRPr="00F566BA">
        <w:rPr>
          <w:rFonts w:ascii="Poppins Medium" w:hAnsi="Poppins Medium" w:cs="Poppins Medium"/>
          <w:color w:val="0F4761" w:themeColor="accent1" w:themeShade="BF"/>
          <w:sz w:val="24"/>
          <w:szCs w:val="24"/>
        </w:rPr>
        <w:t>CMCS Provides an Update on the 2024 SSI and Spousal Impoverishment Standards</w:t>
      </w:r>
    </w:p>
    <w:p w14:paraId="7C54D8AA" w14:textId="17FAE8D1" w:rsidR="00F566BA" w:rsidRPr="00F566BA" w:rsidRDefault="00F566BA" w:rsidP="00F566BA">
      <w:pPr>
        <w:pStyle w:val="ListParagraph"/>
        <w:spacing w:before="240" w:after="0"/>
        <w:ind w:left="360"/>
        <w:rPr>
          <w:rFonts w:ascii="Poppins Medium" w:hAnsi="Poppins Medium" w:cs="Poppins Medium"/>
          <w:color w:val="0F4761" w:themeColor="accent1" w:themeShade="BF"/>
          <w:sz w:val="24"/>
          <w:szCs w:val="24"/>
        </w:rPr>
      </w:pPr>
      <w:r w:rsidRPr="00F566BA">
        <w:rPr>
          <w:rFonts w:cs="Poppins"/>
          <w:color w:val="000000" w:themeColor="text1"/>
          <w:szCs w:val="20"/>
        </w:rPr>
        <w:t>The Center for Medicaid and CHIP Services</w:t>
      </w:r>
      <w:r>
        <w:rPr>
          <w:rFonts w:ascii="Poppins Medium" w:hAnsi="Poppins Medium" w:cs="Poppins Medium"/>
          <w:color w:val="0F4761" w:themeColor="accent1" w:themeShade="BF"/>
          <w:sz w:val="24"/>
          <w:szCs w:val="24"/>
        </w:rPr>
        <w:t xml:space="preserve"> </w:t>
      </w:r>
      <w:r w:rsidRPr="00F566BA">
        <w:rPr>
          <w:rFonts w:cs="Poppins"/>
          <w:color w:val="000000" w:themeColor="text1"/>
          <w:szCs w:val="20"/>
        </w:rPr>
        <w:t>(CMCS) published an informational bulletin to provide an update on the 2024 Supplemental Security Income (SSI) and Spousal Impoverishment Standards. Certain Medicaid income and resource standards are adjusted annually in accordance with changes in the SSI federal benefit rate (FBR) and the Consumer Price Index (CPI). These inc</w:t>
      </w:r>
      <w:r>
        <w:rPr>
          <w:rFonts w:cs="Poppins"/>
          <w:color w:val="000000" w:themeColor="text1"/>
          <w:szCs w:val="20"/>
        </w:rPr>
        <w:t xml:space="preserve">lude some of the standards described in section 1924 of the Social Security Act (the Act), which describes the financial eligibility rules (the “spousal impoverishment rules”) that apply when married individuals seek coverage of certain long-term services and supports. </w:t>
      </w:r>
    </w:p>
    <w:p w14:paraId="45341B33" w14:textId="77777777" w:rsidR="00F566BA" w:rsidRPr="004B29FC" w:rsidRDefault="00F566BA" w:rsidP="00F566BA">
      <w:pPr>
        <w:pStyle w:val="ListParagraph"/>
        <w:spacing w:before="240" w:after="0"/>
        <w:ind w:left="360"/>
        <w:rPr>
          <w:rFonts w:ascii="Poppins Medium" w:hAnsi="Poppins Medium" w:cs="Poppins Medium"/>
          <w:color w:val="0F4761" w:themeColor="accent1" w:themeShade="BF"/>
          <w:sz w:val="24"/>
          <w:szCs w:val="24"/>
        </w:rPr>
      </w:pPr>
    </w:p>
    <w:p w14:paraId="2C4C5A90" w14:textId="77A5E3D9" w:rsidR="00330820" w:rsidRDefault="00330820" w:rsidP="00330820">
      <w:pPr>
        <w:pStyle w:val="ListParagraph"/>
        <w:numPr>
          <w:ilvl w:val="0"/>
          <w:numId w:val="1"/>
        </w:numPr>
        <w:spacing w:before="240"/>
        <w:rPr>
          <w:rFonts w:eastAsia="Times New Roman" w:cs="Poppins"/>
          <w:color w:val="000000"/>
          <w:szCs w:val="20"/>
        </w:rPr>
      </w:pPr>
      <w:r>
        <w:rPr>
          <w:rFonts w:ascii="Poppins Medium" w:hAnsi="Poppins Medium" w:cs="Poppins Medium"/>
          <w:color w:val="0F4761" w:themeColor="accent1" w:themeShade="BF"/>
          <w:sz w:val="24"/>
          <w:szCs w:val="24"/>
        </w:rPr>
        <w:t xml:space="preserve">Senate Special Committee on Aging Holds Hearing on the OAA </w:t>
      </w:r>
      <w:r w:rsidR="00AA24EE">
        <w:rPr>
          <w:rFonts w:ascii="Helvetica" w:eastAsia="Times New Roman" w:hAnsi="Helvetica"/>
          <w:color w:val="000000"/>
        </w:rPr>
        <w:br/>
      </w:r>
      <w:r w:rsidR="00F566BA" w:rsidRPr="00F566BA">
        <w:rPr>
          <w:rFonts w:eastAsia="Times New Roman" w:cs="Poppins"/>
          <w:color w:val="000000"/>
          <w:szCs w:val="20"/>
        </w:rPr>
        <w:t xml:space="preserve">The U.S. Senate Special Committee on Aging </w:t>
      </w:r>
      <w:hyperlink r:id="rId14" w:tgtFrame="_blank" w:history="1">
        <w:r w:rsidR="00F566BA" w:rsidRPr="00F566BA">
          <w:rPr>
            <w:rStyle w:val="Hyperlink"/>
            <w:rFonts w:eastAsia="Times New Roman" w:cs="Poppins"/>
            <w:szCs w:val="20"/>
          </w:rPr>
          <w:t>held a hearing</w:t>
        </w:r>
      </w:hyperlink>
      <w:r w:rsidR="00F566BA" w:rsidRPr="00F566BA">
        <w:rPr>
          <w:rFonts w:eastAsia="Times New Roman" w:cs="Poppins"/>
          <w:color w:val="000000"/>
          <w:szCs w:val="20"/>
        </w:rPr>
        <w:t xml:space="preserve"> on the impact of the Older Americans Act (OAA) reauthorization on local communities. The hearing consisted of four witnesses, among them were an older American who has benefitted from some of the OAA programs, two directors of an Area Agency on Aging (AAA), and the director of the Connecticut Ombudsman program. Witnesses advocated for more </w:t>
      </w:r>
      <w:proofErr w:type="gramStart"/>
      <w:r w:rsidR="00F566BA" w:rsidRPr="00F566BA">
        <w:rPr>
          <w:rFonts w:eastAsia="Times New Roman" w:cs="Poppins"/>
          <w:color w:val="000000"/>
          <w:szCs w:val="20"/>
        </w:rPr>
        <w:t>flexibilities</w:t>
      </w:r>
      <w:proofErr w:type="gramEnd"/>
      <w:r w:rsidR="00F566BA" w:rsidRPr="00F566BA">
        <w:rPr>
          <w:rFonts w:eastAsia="Times New Roman" w:cs="Poppins"/>
          <w:color w:val="000000"/>
          <w:szCs w:val="20"/>
        </w:rPr>
        <w:t xml:space="preserve"> with the dollars being directed to them regarding the nutrition programs and encouraged members to increase funding towards OAA programs. Furthermore, the witnesses agreed that a lack of sufficient staffing levels is an underlying cause of issues with the older adult population </w:t>
      </w:r>
      <w:proofErr w:type="gramStart"/>
      <w:r w:rsidR="00F566BA" w:rsidRPr="00F566BA">
        <w:rPr>
          <w:rFonts w:eastAsia="Times New Roman" w:cs="Poppins"/>
          <w:color w:val="000000"/>
          <w:szCs w:val="20"/>
        </w:rPr>
        <w:t>in</w:t>
      </w:r>
      <w:proofErr w:type="gramEnd"/>
      <w:r w:rsidR="00F566BA" w:rsidRPr="00F566BA">
        <w:rPr>
          <w:rFonts w:eastAsia="Times New Roman" w:cs="Poppins"/>
          <w:color w:val="000000"/>
          <w:szCs w:val="20"/>
        </w:rPr>
        <w:t xml:space="preserve"> long-term care facilities. </w:t>
      </w:r>
      <w:proofErr w:type="spellStart"/>
      <w:r w:rsidR="00F566BA" w:rsidRPr="00F566BA">
        <w:rPr>
          <w:rFonts w:eastAsia="Times New Roman" w:cs="Poppins"/>
          <w:color w:val="000000"/>
          <w:szCs w:val="20"/>
        </w:rPr>
        <w:t>Healthsperien</w:t>
      </w:r>
      <w:proofErr w:type="spellEnd"/>
      <w:r w:rsidR="00F566BA" w:rsidRPr="00F566BA">
        <w:rPr>
          <w:rFonts w:eastAsia="Times New Roman" w:cs="Poppins"/>
          <w:color w:val="000000"/>
          <w:szCs w:val="20"/>
        </w:rPr>
        <w:t xml:space="preserve"> covered the hearing and will have comprehensive notes available soon.  </w:t>
      </w:r>
    </w:p>
    <w:p w14:paraId="38DBFBFF" w14:textId="77777777" w:rsidR="00CF61A3" w:rsidRPr="004B29FC" w:rsidRDefault="00CF61A3" w:rsidP="00CF61A3">
      <w:pPr>
        <w:pStyle w:val="ListParagraph"/>
        <w:spacing w:before="240" w:after="0"/>
        <w:ind w:left="360"/>
        <w:rPr>
          <w:rFonts w:ascii="Poppins Medium" w:hAnsi="Poppins Medium" w:cs="Poppins Medium"/>
          <w:color w:val="0F4761" w:themeColor="accent1" w:themeShade="BF"/>
          <w:sz w:val="24"/>
          <w:szCs w:val="24"/>
        </w:rPr>
      </w:pPr>
    </w:p>
    <w:p w14:paraId="743CDF33" w14:textId="577653DC" w:rsidR="00330820" w:rsidRDefault="00CF61A3" w:rsidP="00CF61A3">
      <w:pPr>
        <w:pStyle w:val="ListParagraph"/>
        <w:numPr>
          <w:ilvl w:val="0"/>
          <w:numId w:val="1"/>
        </w:numPr>
        <w:spacing w:after="0" w:line="240" w:lineRule="auto"/>
        <w:rPr>
          <w:rStyle w:val="normaltextrun"/>
        </w:rPr>
      </w:pPr>
      <w:r>
        <w:rPr>
          <w:rFonts w:ascii="Poppins Medium" w:hAnsi="Poppins Medium" w:cs="Poppins Medium"/>
          <w:color w:val="0F4761" w:themeColor="accent1" w:themeShade="BF"/>
          <w:sz w:val="24"/>
          <w:szCs w:val="24"/>
        </w:rPr>
        <w:t>ACL Releases Strategic Framework for National Plan on Aging</w:t>
      </w:r>
    </w:p>
    <w:p w14:paraId="6404C25E" w14:textId="4F12C19C" w:rsidR="00330820" w:rsidRDefault="00330820" w:rsidP="00330820">
      <w:pPr>
        <w:pStyle w:val="paragraph"/>
        <w:spacing w:before="0" w:beforeAutospacing="0" w:after="0" w:afterAutospacing="0"/>
        <w:ind w:left="360"/>
        <w:textAlignment w:val="baseline"/>
        <w:rPr>
          <w:rStyle w:val="eop"/>
          <w:rFonts w:ascii="Poppins" w:eastAsiaTheme="majorEastAsia" w:hAnsi="Poppins" w:cs="Poppins"/>
          <w:sz w:val="20"/>
          <w:szCs w:val="20"/>
        </w:rPr>
      </w:pPr>
      <w:r w:rsidRPr="00330820">
        <w:rPr>
          <w:rStyle w:val="normaltextrun"/>
          <w:rFonts w:ascii="Poppins" w:eastAsiaTheme="majorEastAsia" w:hAnsi="Poppins" w:cs="Poppins"/>
          <w:sz w:val="20"/>
          <w:szCs w:val="20"/>
        </w:rPr>
        <w:t>The U.S. Department of Health and Human Services (HHS), through its Administration for Community Living, released “</w:t>
      </w:r>
      <w:hyperlink r:id="rId15" w:tgtFrame="_blank" w:history="1">
        <w:r w:rsidRPr="00330820">
          <w:rPr>
            <w:rStyle w:val="normaltextrun"/>
            <w:rFonts w:ascii="Poppins" w:eastAsiaTheme="majorEastAsia" w:hAnsi="Poppins" w:cs="Poppins"/>
            <w:color w:val="0070C0"/>
            <w:sz w:val="20"/>
            <w:szCs w:val="20"/>
            <w:u w:val="single"/>
          </w:rPr>
          <w:t>Aging in the United States: A Strategic Framework for a National Plan on Aging</w:t>
        </w:r>
      </w:hyperlink>
      <w:r w:rsidRPr="00330820">
        <w:rPr>
          <w:rStyle w:val="normaltextrun"/>
          <w:rFonts w:ascii="Poppins" w:eastAsiaTheme="majorEastAsia" w:hAnsi="Poppins" w:cs="Poppins"/>
          <w:sz w:val="20"/>
          <w:szCs w:val="20"/>
        </w:rPr>
        <w:t xml:space="preserve">.” The report serves as a first step in a coordinated effort across </w:t>
      </w:r>
      <w:r w:rsidRPr="00330820">
        <w:rPr>
          <w:rStyle w:val="normaltextrun"/>
          <w:rFonts w:ascii="Poppins" w:eastAsiaTheme="majorEastAsia" w:hAnsi="Poppins" w:cs="Poppins"/>
          <w:sz w:val="20"/>
          <w:szCs w:val="20"/>
        </w:rPr>
        <w:lastRenderedPageBreak/>
        <w:t xml:space="preserve">private and public sectors to create a national set of recommendations aimed at advancing healthy aging and age-friendly communities. Leaders and experts from 16 federal agencies came together through the </w:t>
      </w:r>
      <w:hyperlink r:id="rId16" w:tgtFrame="_blank" w:history="1">
        <w:r w:rsidRPr="00330820">
          <w:rPr>
            <w:rStyle w:val="normaltextrun"/>
            <w:rFonts w:ascii="Poppins" w:eastAsiaTheme="majorEastAsia" w:hAnsi="Poppins" w:cs="Poppins"/>
            <w:color w:val="0070C0"/>
            <w:sz w:val="20"/>
            <w:szCs w:val="20"/>
            <w:u w:val="single"/>
          </w:rPr>
          <w:t>Interagency Coordinating Committee (ICC) on Healthy Aging and Age-Friendly Communities</w:t>
        </w:r>
      </w:hyperlink>
      <w:r w:rsidRPr="00330820">
        <w:rPr>
          <w:rStyle w:val="normaltextrun"/>
          <w:rFonts w:ascii="Poppins" w:eastAsiaTheme="majorEastAsia" w:hAnsi="Poppins" w:cs="Poppins"/>
          <w:sz w:val="20"/>
          <w:szCs w:val="20"/>
        </w:rPr>
        <w:t xml:space="preserve"> to develop the Strategic Framework, which hopes to advance best practices for service delivery, support development of partnerships within and across sectors, and identify solutions for removing barriers to health care for older adults. The ICC </w:t>
      </w:r>
      <w:proofErr w:type="gramStart"/>
      <w:r w:rsidRPr="00330820">
        <w:rPr>
          <w:rStyle w:val="normaltextrun"/>
          <w:rFonts w:ascii="Poppins" w:eastAsiaTheme="majorEastAsia" w:hAnsi="Poppins" w:cs="Poppins"/>
          <w:sz w:val="20"/>
          <w:szCs w:val="20"/>
        </w:rPr>
        <w:t>took into account</w:t>
      </w:r>
      <w:proofErr w:type="gramEnd"/>
      <w:r w:rsidRPr="00330820">
        <w:rPr>
          <w:rStyle w:val="normaltextrun"/>
          <w:rFonts w:ascii="Poppins" w:eastAsiaTheme="majorEastAsia" w:hAnsi="Poppins" w:cs="Poppins"/>
          <w:sz w:val="20"/>
          <w:szCs w:val="20"/>
        </w:rPr>
        <w:t xml:space="preserve"> the factors that influence the aging experience, and the things people need as they age, such as housing services, aligned health care and supportive services, accessible communities, and increased access to long-term services and supports. The framework discusses key issues within these factors, separating them into four domains within the report to address underlying causes of them and to highlight ongoing work across the federal government within these spaces. ACL will host a public webinar to provide an overview of the Strategic Framework on June 10</w:t>
      </w:r>
      <w:r w:rsidRPr="00330820">
        <w:rPr>
          <w:rStyle w:val="normaltextrun"/>
          <w:rFonts w:ascii="Poppins" w:eastAsiaTheme="majorEastAsia" w:hAnsi="Poppins" w:cs="Poppins"/>
          <w:sz w:val="20"/>
          <w:szCs w:val="20"/>
          <w:vertAlign w:val="superscript"/>
        </w:rPr>
        <w:t>th</w:t>
      </w:r>
      <w:r w:rsidRPr="00330820">
        <w:rPr>
          <w:rStyle w:val="normaltextrun"/>
          <w:rFonts w:ascii="Poppins" w:eastAsiaTheme="majorEastAsia" w:hAnsi="Poppins" w:cs="Poppins"/>
          <w:sz w:val="20"/>
          <w:szCs w:val="20"/>
        </w:rPr>
        <w:t xml:space="preserve"> at 2:00PM. Advance registration is required, which can be found </w:t>
      </w:r>
      <w:hyperlink r:id="rId17" w:anchor="/registration" w:tgtFrame="_blank" w:history="1">
        <w:r w:rsidRPr="00330820">
          <w:rPr>
            <w:rStyle w:val="normaltextrun"/>
            <w:rFonts w:ascii="Poppins" w:eastAsiaTheme="majorEastAsia" w:hAnsi="Poppins" w:cs="Poppins"/>
            <w:color w:val="0070C0"/>
            <w:sz w:val="20"/>
            <w:szCs w:val="20"/>
            <w:u w:val="single"/>
          </w:rPr>
          <w:t>here</w:t>
        </w:r>
      </w:hyperlink>
      <w:r w:rsidRPr="00330820">
        <w:rPr>
          <w:rStyle w:val="normaltextrun"/>
          <w:rFonts w:ascii="Poppins" w:eastAsiaTheme="majorEastAsia" w:hAnsi="Poppins" w:cs="Poppins"/>
          <w:sz w:val="20"/>
          <w:szCs w:val="20"/>
        </w:rPr>
        <w:t>. </w:t>
      </w:r>
      <w:r w:rsidRPr="00330820">
        <w:rPr>
          <w:rStyle w:val="eop"/>
          <w:rFonts w:ascii="Poppins" w:eastAsiaTheme="majorEastAsia" w:hAnsi="Poppins" w:cs="Poppins"/>
          <w:sz w:val="20"/>
          <w:szCs w:val="20"/>
        </w:rPr>
        <w:t> </w:t>
      </w:r>
    </w:p>
    <w:p w14:paraId="4327E4C4" w14:textId="77777777" w:rsidR="00330820" w:rsidRPr="00330820" w:rsidRDefault="00330820" w:rsidP="00330820">
      <w:pPr>
        <w:pStyle w:val="paragraph"/>
        <w:spacing w:before="0" w:beforeAutospacing="0" w:after="0" w:afterAutospacing="0"/>
        <w:textAlignment w:val="baseline"/>
        <w:rPr>
          <w:rFonts w:ascii="Poppins" w:hAnsi="Poppins" w:cs="Poppins"/>
          <w:sz w:val="20"/>
          <w:szCs w:val="20"/>
        </w:rPr>
      </w:pPr>
    </w:p>
    <w:p w14:paraId="6B4E8752" w14:textId="3E491A23" w:rsidR="00330820" w:rsidRPr="00330820" w:rsidRDefault="00330820" w:rsidP="00330820">
      <w:pPr>
        <w:pStyle w:val="ListParagraph"/>
        <w:numPr>
          <w:ilvl w:val="0"/>
          <w:numId w:val="1"/>
        </w:numPr>
        <w:spacing w:after="0" w:line="240" w:lineRule="auto"/>
        <w:rPr>
          <w:rStyle w:val="normaltextrun"/>
        </w:rPr>
      </w:pPr>
      <w:r>
        <w:rPr>
          <w:rFonts w:ascii="Poppins Medium" w:hAnsi="Poppins Medium" w:cs="Poppins Medium"/>
          <w:color w:val="0F4761" w:themeColor="accent1" w:themeShade="BF"/>
          <w:sz w:val="24"/>
          <w:szCs w:val="24"/>
        </w:rPr>
        <w:t xml:space="preserve">FCC Proposes Rule to Update 988 </w:t>
      </w:r>
      <w:proofErr w:type="spellStart"/>
      <w:r>
        <w:rPr>
          <w:rFonts w:ascii="Poppins Medium" w:hAnsi="Poppins Medium" w:cs="Poppins Medium"/>
          <w:color w:val="0F4761" w:themeColor="accent1" w:themeShade="BF"/>
          <w:sz w:val="24"/>
          <w:szCs w:val="24"/>
        </w:rPr>
        <w:t>Georouting</w:t>
      </w:r>
      <w:proofErr w:type="spellEnd"/>
      <w:r>
        <w:rPr>
          <w:rFonts w:ascii="Poppins Medium" w:hAnsi="Poppins Medium" w:cs="Poppins Medium"/>
          <w:color w:val="0F4761" w:themeColor="accent1" w:themeShade="BF"/>
          <w:sz w:val="24"/>
          <w:szCs w:val="24"/>
        </w:rPr>
        <w:t xml:space="preserve"> Requirements </w:t>
      </w:r>
    </w:p>
    <w:p w14:paraId="33CBB119" w14:textId="1927120B" w:rsidR="00CF61A3" w:rsidRDefault="00330820" w:rsidP="00CF61A3">
      <w:pPr>
        <w:pStyle w:val="ListParagraph"/>
        <w:spacing w:after="0" w:line="240" w:lineRule="auto"/>
        <w:ind w:left="360"/>
        <w:rPr>
          <w:rStyle w:val="eop"/>
          <w:rFonts w:cs="Poppins"/>
          <w:color w:val="000000"/>
          <w:shd w:val="clear" w:color="auto" w:fill="FFFFFF"/>
        </w:rPr>
      </w:pPr>
      <w:r w:rsidRPr="00330820">
        <w:rPr>
          <w:rStyle w:val="normaltextrun"/>
          <w:rFonts w:cs="Poppins"/>
          <w:color w:val="000000"/>
          <w:shd w:val="clear" w:color="auto" w:fill="FFFFFF"/>
        </w:rPr>
        <w:t xml:space="preserve">The Federal Communications Commissions (FCC) has </w:t>
      </w:r>
      <w:hyperlink r:id="rId18" w:tgtFrame="_blank" w:history="1">
        <w:r w:rsidRPr="00330820">
          <w:rPr>
            <w:rStyle w:val="normaltextrun"/>
            <w:rFonts w:cs="Poppins"/>
            <w:color w:val="0070C0"/>
            <w:u w:val="single"/>
            <w:shd w:val="clear" w:color="auto" w:fill="FFFFFF"/>
          </w:rPr>
          <w:t>proposed</w:t>
        </w:r>
      </w:hyperlink>
      <w:r w:rsidRPr="00330820">
        <w:rPr>
          <w:rStyle w:val="normaltextrun"/>
          <w:rFonts w:cs="Poppins"/>
          <w:color w:val="000000"/>
          <w:shd w:val="clear" w:color="auto" w:fill="FFFFFF"/>
        </w:rPr>
        <w:t xml:space="preserve"> a rule to require wireless (mobile phone) carriers to implement new </w:t>
      </w:r>
      <w:proofErr w:type="spellStart"/>
      <w:r w:rsidRPr="00330820">
        <w:rPr>
          <w:rStyle w:val="spellingerror"/>
          <w:rFonts w:cs="Poppins"/>
          <w:color w:val="000000"/>
          <w:shd w:val="clear" w:color="auto" w:fill="FFFFFF"/>
        </w:rPr>
        <w:t>georouting</w:t>
      </w:r>
      <w:proofErr w:type="spellEnd"/>
      <w:r w:rsidRPr="00330820">
        <w:rPr>
          <w:rStyle w:val="normaltextrun"/>
          <w:rFonts w:cs="Poppins"/>
          <w:color w:val="000000"/>
          <w:shd w:val="clear" w:color="auto" w:fill="FFFFFF"/>
        </w:rPr>
        <w:t xml:space="preserve"> solutions for calls to the 988 Suicide &amp; Crisis Hotline, to ensure that calls are routed to the nearest crisis center based on the person’s geographic location, not their area code. Currently, when individuals call 988, they are automatically connected to a crisis call center that is nearest to their phone’s area code. However, if individuals have moved out of that area, they will experience service delays as their calls are re-routed to the correct local center or the national back-up center.  Under the proposed rule, wireless carriers would be required to use similar methodologies that are already deployed under 211, 311, and other N11 numbers, to identify callers’ physical locations. The FCC is broadly seeking feedback related to the potential benefits, challenges, and risks of moving forward with this approach, as well as any recommendations for ensuring callers receive timely, local services, while also protecting their privacy. Comments on the proposed rule are due on or before June 28, 2024.</w:t>
      </w:r>
      <w:r w:rsidRPr="00330820">
        <w:rPr>
          <w:rStyle w:val="eop"/>
          <w:rFonts w:cs="Poppins"/>
          <w:color w:val="000000"/>
          <w:shd w:val="clear" w:color="auto" w:fill="FFFFFF"/>
        </w:rPr>
        <w:t> </w:t>
      </w:r>
    </w:p>
    <w:p w14:paraId="114255A3" w14:textId="77777777" w:rsidR="00CF61A3" w:rsidRPr="00CF61A3" w:rsidRDefault="00CF61A3" w:rsidP="00CF61A3">
      <w:pPr>
        <w:spacing w:after="0" w:line="240" w:lineRule="auto"/>
        <w:rPr>
          <w:rFonts w:cs="Poppins"/>
          <w:b/>
          <w:bCs/>
        </w:rPr>
      </w:pPr>
    </w:p>
    <w:p w14:paraId="4466ADA1" w14:textId="30D2D214" w:rsidR="00CF61A3" w:rsidRPr="00CF61A3" w:rsidRDefault="00CF61A3" w:rsidP="00CF61A3">
      <w:pPr>
        <w:pStyle w:val="ListParagraph"/>
        <w:numPr>
          <w:ilvl w:val="0"/>
          <w:numId w:val="1"/>
        </w:numPr>
        <w:spacing w:after="0" w:line="240" w:lineRule="auto"/>
        <w:rPr>
          <w:rStyle w:val="normaltextrun"/>
          <w:rFonts w:cs="Poppins"/>
          <w:b/>
          <w:bCs/>
        </w:rPr>
      </w:pPr>
      <w:r>
        <w:rPr>
          <w:rFonts w:ascii="Poppins Medium" w:hAnsi="Poppins Medium" w:cs="Poppins Medium"/>
          <w:color w:val="0F4761" w:themeColor="accent1" w:themeShade="BF"/>
          <w:sz w:val="24"/>
          <w:szCs w:val="24"/>
        </w:rPr>
        <w:t>ASPE Releases 2023 Q4 Data on National Uninsured Rate</w:t>
      </w:r>
    </w:p>
    <w:p w14:paraId="535FF7F4" w14:textId="413DEC6C" w:rsidR="00330820" w:rsidRPr="00CF61A3" w:rsidRDefault="00330820" w:rsidP="00CF61A3">
      <w:pPr>
        <w:spacing w:after="0" w:line="240" w:lineRule="auto"/>
        <w:ind w:left="360"/>
        <w:rPr>
          <w:rFonts w:cs="Poppins"/>
          <w:b/>
          <w:bCs/>
        </w:rPr>
      </w:pPr>
      <w:r w:rsidRPr="00330820">
        <w:rPr>
          <w:rStyle w:val="normaltextrun"/>
          <w:rFonts w:cs="Poppins"/>
          <w:shd w:val="clear" w:color="auto" w:fill="FFFFFF"/>
        </w:rPr>
        <w:t>T</w:t>
      </w:r>
      <w:r w:rsidRPr="00330820">
        <w:rPr>
          <w:rStyle w:val="normaltextrun"/>
          <w:rFonts w:cs="Poppins"/>
          <w:color w:val="000000"/>
          <w:shd w:val="clear" w:color="auto" w:fill="FFFFFF"/>
        </w:rPr>
        <w:t xml:space="preserve">he U.S. Department of Health and Human Services (HHS), Assistant Secretary for Planning and Evaluation (ASPE) Office of Health Policy </w:t>
      </w:r>
      <w:hyperlink r:id="rId19" w:tgtFrame="_blank" w:history="1">
        <w:r w:rsidRPr="00330820">
          <w:rPr>
            <w:rStyle w:val="normaltextrun"/>
            <w:rFonts w:cs="Poppins"/>
            <w:color w:val="0563C1"/>
            <w:u w:val="single"/>
            <w:shd w:val="clear" w:color="auto" w:fill="FFFFFF"/>
          </w:rPr>
          <w:t>released uninsured rate data</w:t>
        </w:r>
      </w:hyperlink>
      <w:r w:rsidRPr="00330820">
        <w:rPr>
          <w:rStyle w:val="normaltextrun"/>
          <w:rFonts w:cs="Poppins"/>
          <w:color w:val="000000"/>
          <w:shd w:val="clear" w:color="auto" w:fill="FFFFFF"/>
        </w:rPr>
        <w:t xml:space="preserve"> from the National Health Interview Survey. The survey showed that the national uninsured rate for all ages in Q4 of 2023 was 7.7% or 25.5 million people. Overall trends demonstrate a steady decline in the uninsured rate </w:t>
      </w:r>
      <w:proofErr w:type="gramStart"/>
      <w:r w:rsidRPr="00330820">
        <w:rPr>
          <w:rStyle w:val="normaltextrun"/>
          <w:rFonts w:cs="Poppins"/>
          <w:color w:val="000000"/>
          <w:shd w:val="clear" w:color="auto" w:fill="FFFFFF"/>
        </w:rPr>
        <w:t>since</w:t>
      </w:r>
      <w:proofErr w:type="gramEnd"/>
      <w:r w:rsidRPr="00330820">
        <w:rPr>
          <w:rStyle w:val="normaltextrun"/>
          <w:rFonts w:cs="Poppins"/>
          <w:color w:val="000000"/>
          <w:shd w:val="clear" w:color="auto" w:fill="FFFFFF"/>
        </w:rPr>
        <w:t xml:space="preserve"> 2020 with no statistically significant quarter-to-quarter changes. Despite enrollment declines in Medicaid and CHIP, there is no statistically significant change in the uninsured rate since the beginning of Medicaid unwinding in April 2023. The data reported captured changes in coverage during the first nine months of states returning to regular eligibility renewals in the Medicaid program.</w:t>
      </w:r>
      <w:r w:rsidRPr="00330820">
        <w:rPr>
          <w:rStyle w:val="eop"/>
          <w:rFonts w:cs="Poppins"/>
          <w:color w:val="000000"/>
          <w:shd w:val="clear" w:color="auto" w:fill="FFFFFF"/>
        </w:rPr>
        <w:t> </w:t>
      </w:r>
    </w:p>
    <w:p w14:paraId="3CA4C77F" w14:textId="77777777" w:rsidR="00F566BA" w:rsidRDefault="00F566BA" w:rsidP="00F566BA">
      <w:pPr>
        <w:pStyle w:val="ListParagraph"/>
        <w:spacing w:after="0"/>
        <w:ind w:left="360"/>
        <w:rPr>
          <w:rFonts w:ascii="Poppins Medium" w:hAnsi="Poppins Medium" w:cs="Poppins Medium"/>
          <w:color w:val="0F4761" w:themeColor="accent1" w:themeShade="BF"/>
          <w:sz w:val="24"/>
          <w:szCs w:val="24"/>
        </w:rPr>
      </w:pPr>
    </w:p>
    <w:p w14:paraId="6595415A" w14:textId="53FA39A8" w:rsidR="00226ACA" w:rsidRDefault="00CF61A3" w:rsidP="00A73302">
      <w:pPr>
        <w:pStyle w:val="ListParagraph"/>
        <w:numPr>
          <w:ilvl w:val="0"/>
          <w:numId w:val="1"/>
        </w:numPr>
        <w:spacing w:after="0"/>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lastRenderedPageBreak/>
        <w:t>KFF Publishes Analysis on States’ Shift to MA for Retirees in 2024</w:t>
      </w:r>
    </w:p>
    <w:p w14:paraId="176FCA67" w14:textId="0D3FC9F4" w:rsidR="00F87569" w:rsidRDefault="00F566BA" w:rsidP="0005263B">
      <w:pPr>
        <w:pStyle w:val="paragraph"/>
        <w:spacing w:before="0" w:beforeAutospacing="0" w:after="0" w:afterAutospacing="0"/>
        <w:ind w:left="360"/>
        <w:textAlignment w:val="baseline"/>
        <w:rPr>
          <w:rStyle w:val="eop"/>
          <w:rFonts w:ascii="Poppins" w:eastAsiaTheme="majorEastAsia" w:hAnsi="Poppins" w:cs="Poppins"/>
          <w:color w:val="000000"/>
          <w:sz w:val="20"/>
          <w:szCs w:val="20"/>
          <w:shd w:val="clear" w:color="auto" w:fill="FFFFFF"/>
        </w:rPr>
      </w:pPr>
      <w:r w:rsidRPr="00F566BA">
        <w:rPr>
          <w:rStyle w:val="normaltextrun"/>
          <w:rFonts w:ascii="Poppins" w:eastAsiaTheme="majorEastAsia" w:hAnsi="Poppins" w:cs="Poppins"/>
          <w:color w:val="000000"/>
          <w:sz w:val="20"/>
          <w:szCs w:val="20"/>
          <w:shd w:val="clear" w:color="auto" w:fill="FFFFFF"/>
        </w:rPr>
        <w:t xml:space="preserve">The Kaiser Family Foundation (KFF) </w:t>
      </w:r>
      <w:hyperlink r:id="rId20" w:tgtFrame="_blank" w:history="1">
        <w:r w:rsidRPr="00F566BA">
          <w:rPr>
            <w:rStyle w:val="normaltextrun"/>
            <w:rFonts w:ascii="Poppins" w:eastAsiaTheme="majorEastAsia" w:hAnsi="Poppins" w:cs="Poppins"/>
            <w:color w:val="467886"/>
            <w:sz w:val="20"/>
            <w:szCs w:val="20"/>
            <w:u w:val="single"/>
            <w:shd w:val="clear" w:color="auto" w:fill="FFFFFF"/>
          </w:rPr>
          <w:t>published an analysis</w:t>
        </w:r>
      </w:hyperlink>
      <w:r w:rsidRPr="00F566BA">
        <w:rPr>
          <w:rStyle w:val="normaltextrun"/>
          <w:rFonts w:ascii="Poppins" w:eastAsiaTheme="majorEastAsia" w:hAnsi="Poppins" w:cs="Poppins"/>
          <w:color w:val="000000"/>
          <w:sz w:val="20"/>
          <w:szCs w:val="20"/>
          <w:shd w:val="clear" w:color="auto" w:fill="FFFFFF"/>
        </w:rPr>
        <w:t xml:space="preserve"> on trends in employer-sponsored health benefits for Medicare-age retirees. In 2024, nearly all states and D.C. offer Medicare Advantage (MA) plans to their Medicare-age retirees, with 12 states providing these plans exclusively. This shift from traditional retiree health benefits to MA reflects a broader trend among large employers aiming to manage costs and streamline administration. MA plans are seen as a cost-saving measure for states, potentially reducing their retiree health liabilities significantly. For example, Connecticut projected substantial savings and a reduction in unfunded liabilities by switching to MA. However, this shift also presents tradeoffs for retirees, such as potentially limited provider networks and the need for prior authorization for some services, which has led to legal challenges in places like Delaware and New York City.</w:t>
      </w:r>
      <w:r w:rsidRPr="00F566BA">
        <w:rPr>
          <w:rStyle w:val="eop"/>
          <w:rFonts w:ascii="Poppins" w:eastAsiaTheme="majorEastAsia" w:hAnsi="Poppins" w:cs="Poppins"/>
          <w:color w:val="000000"/>
          <w:sz w:val="20"/>
          <w:szCs w:val="20"/>
          <w:shd w:val="clear" w:color="auto" w:fill="FFFFFF"/>
        </w:rPr>
        <w:t xml:space="preserve"> </w:t>
      </w:r>
    </w:p>
    <w:p w14:paraId="4399BDC6" w14:textId="77777777" w:rsidR="0005263B" w:rsidRPr="0005263B" w:rsidRDefault="0005263B" w:rsidP="0005263B">
      <w:pPr>
        <w:pStyle w:val="paragraph"/>
        <w:spacing w:before="0" w:beforeAutospacing="0" w:after="0" w:afterAutospacing="0"/>
        <w:ind w:left="360"/>
        <w:textAlignment w:val="baseline"/>
        <w:rPr>
          <w:rFonts w:ascii="Poppins" w:hAnsi="Poppins" w:cs="Poppins"/>
          <w:sz w:val="20"/>
          <w:szCs w:val="20"/>
        </w:rPr>
      </w:pPr>
    </w:p>
    <w:p w14:paraId="5410A816" w14:textId="77777777" w:rsidR="00226ACA" w:rsidRPr="00330820" w:rsidRDefault="00226ACA" w:rsidP="009E754B">
      <w:pPr>
        <w:pStyle w:val="Heading1"/>
        <w:spacing w:before="0" w:after="0"/>
        <w:rPr>
          <w:rFonts w:ascii="Poppins SemiBold" w:hAnsi="Poppins SemiBold" w:cs="Poppins SemiBold"/>
          <w:sz w:val="8"/>
          <w:szCs w:val="8"/>
        </w:rPr>
      </w:pPr>
      <w:r w:rsidRPr="00EC72B9">
        <w:rPr>
          <w:rFonts w:ascii="Poppins SemiBold" w:hAnsi="Poppins SemiBold" w:cs="Poppins SemiBold"/>
          <w:sz w:val="32"/>
          <w:szCs w:val="16"/>
        </w:rPr>
        <w:t>What’s</w:t>
      </w:r>
      <w:r w:rsidRPr="00330820">
        <w:rPr>
          <w:rFonts w:ascii="Poppins SemiBold" w:hAnsi="Poppins SemiBold" w:cs="Poppins SemiBold"/>
          <w:sz w:val="32"/>
          <w:szCs w:val="16"/>
        </w:rPr>
        <w:t xml:space="preserve"> on Tap</w:t>
      </w:r>
    </w:p>
    <w:p w14:paraId="19C201ED" w14:textId="77777777" w:rsidR="00EC72B9" w:rsidRPr="00EC72B9" w:rsidRDefault="00EC72B9" w:rsidP="00EC72B9">
      <w:pPr>
        <w:pStyle w:val="ListParagraph"/>
        <w:numPr>
          <w:ilvl w:val="0"/>
          <w:numId w:val="1"/>
        </w:numPr>
        <w:rPr>
          <w:rFonts w:cs="Poppins"/>
          <w:szCs w:val="20"/>
        </w:rPr>
      </w:pPr>
      <w:r w:rsidRPr="00EC72B9">
        <w:rPr>
          <w:rFonts w:eastAsia="Calibri" w:cs="Poppins"/>
          <w:bCs/>
          <w:color w:val="000000"/>
          <w:szCs w:val="20"/>
        </w:rPr>
        <w:t xml:space="preserve">Congress returns to Washington today following last week's district work period. This week, Anthony Fauci, a prominent figure in the government's response to the COVID-19 pandemic, is set to provide his first congressional </w:t>
      </w:r>
      <w:hyperlink r:id="rId21" w:history="1">
        <w:r w:rsidRPr="00EC72B9">
          <w:rPr>
            <w:rStyle w:val="Hyperlink"/>
            <w:rFonts w:eastAsia="Calibri" w:cs="Poppins"/>
            <w:bCs/>
            <w:szCs w:val="20"/>
          </w:rPr>
          <w:t>testimony</w:t>
        </w:r>
      </w:hyperlink>
      <w:r w:rsidRPr="00EC72B9">
        <w:rPr>
          <w:rFonts w:eastAsia="Calibri" w:cs="Poppins"/>
          <w:bCs/>
          <w:color w:val="000000"/>
          <w:szCs w:val="20"/>
        </w:rPr>
        <w:t xml:space="preserve"> in almost two years since retiring from government service at the end of 2022. On Monday, he will appear before the Republican-led House Select Subcommittee on the Coronavirus Pandemic, which is investigating alleged misconduct during his tenure as the head of the National Institute of Allergy and Infectious Diseases (NIAID), a position he held for nearly four decades. Fauci is expected to face tough questions from Republicans about his knowledge of alleged attempts by another NIAID official to circumvent public records laws. </w:t>
      </w:r>
    </w:p>
    <w:p w14:paraId="566222C3" w14:textId="77777777" w:rsidR="00EC72B9" w:rsidRDefault="00EC72B9" w:rsidP="00EC72B9">
      <w:pPr>
        <w:pStyle w:val="ListParagraph"/>
        <w:ind w:left="360"/>
        <w:rPr>
          <w:rFonts w:eastAsia="Calibri" w:cs="Poppins"/>
          <w:bCs/>
          <w:color w:val="000000"/>
          <w:szCs w:val="20"/>
        </w:rPr>
      </w:pPr>
    </w:p>
    <w:p w14:paraId="1B0ED242" w14:textId="42D09147" w:rsidR="00EC72B9" w:rsidRPr="00EC72B9" w:rsidRDefault="00EC72B9" w:rsidP="00EC72B9">
      <w:pPr>
        <w:pStyle w:val="ListParagraph"/>
        <w:numPr>
          <w:ilvl w:val="0"/>
          <w:numId w:val="1"/>
        </w:numPr>
        <w:rPr>
          <w:rFonts w:cs="Poppins"/>
          <w:szCs w:val="20"/>
        </w:rPr>
      </w:pPr>
      <w:r w:rsidRPr="00EC72B9">
        <w:rPr>
          <w:rFonts w:eastAsia="Calibri" w:cs="Poppins"/>
          <w:bCs/>
          <w:color w:val="000000"/>
          <w:szCs w:val="20"/>
        </w:rPr>
        <w:t xml:space="preserve">Senate Majority Leader Chuck Schumer announced in a </w:t>
      </w:r>
      <w:hyperlink r:id="rId22" w:history="1">
        <w:r w:rsidRPr="00EC72B9">
          <w:rPr>
            <w:rStyle w:val="Hyperlink"/>
            <w:rFonts w:eastAsia="Calibri" w:cs="Poppins"/>
            <w:bCs/>
            <w:szCs w:val="20"/>
          </w:rPr>
          <w:t>letter</w:t>
        </w:r>
      </w:hyperlink>
      <w:r w:rsidRPr="00EC72B9">
        <w:rPr>
          <w:rFonts w:eastAsia="Calibri" w:cs="Poppins"/>
          <w:bCs/>
          <w:color w:val="000000"/>
          <w:szCs w:val="20"/>
        </w:rPr>
        <w:t xml:space="preserve"> to colleagues that the Senate will vote on the Right to Contraception Act on Wednesday. This vote is scheduled just before the two-year anniversary of the Supreme Court's decision in Dobbs v. Jackson Women’s Health Organization, which overturned the right to an abortion. In his letter, Schumer emphasized that June 24 marks a significant anniversary, noting that at least 20 states now have near-total bans or severe restrictions on abortion. Sponsored by Senators Ed Markey, Mazie Hirono, and Tammy Duckworth, the bill aims to guarantee the right to obtain and use contraception and to prevent federal and state governments from restricting its sale or use. This vote will highlight the differing stances between political parties on abortion rights and women's health care access.</w:t>
      </w:r>
    </w:p>
    <w:p w14:paraId="65FC236F" w14:textId="77777777" w:rsidR="00EC72B9" w:rsidRDefault="00EC72B9" w:rsidP="00EC72B9">
      <w:pPr>
        <w:pStyle w:val="ListParagraph"/>
        <w:ind w:left="360"/>
        <w:rPr>
          <w:rFonts w:eastAsia="Calibri" w:cs="Poppins"/>
          <w:bCs/>
          <w:color w:val="000000"/>
          <w:szCs w:val="20"/>
        </w:rPr>
      </w:pPr>
    </w:p>
    <w:p w14:paraId="70D8A549" w14:textId="37738683" w:rsidR="00AA24EE" w:rsidRPr="00EC72B9" w:rsidRDefault="00EC72B9" w:rsidP="00EC72B9">
      <w:pPr>
        <w:pStyle w:val="ListParagraph"/>
        <w:numPr>
          <w:ilvl w:val="0"/>
          <w:numId w:val="1"/>
        </w:numPr>
        <w:rPr>
          <w:rFonts w:eastAsia="Calibri" w:cs="Poppins"/>
          <w:bCs/>
          <w:color w:val="000000"/>
          <w:szCs w:val="20"/>
        </w:rPr>
      </w:pPr>
      <w:r w:rsidRPr="00EC72B9">
        <w:rPr>
          <w:rFonts w:eastAsia="Calibri" w:cs="Poppins"/>
          <w:bCs/>
          <w:color w:val="000000"/>
          <w:szCs w:val="20"/>
        </w:rPr>
        <w:t xml:space="preserve">Last week, CMS released a </w:t>
      </w:r>
      <w:hyperlink r:id="rId23" w:history="1">
        <w:r w:rsidRPr="00EC72B9">
          <w:rPr>
            <w:rStyle w:val="Hyperlink"/>
            <w:rFonts w:eastAsia="Calibri" w:cs="Poppins"/>
            <w:bCs/>
            <w:szCs w:val="20"/>
          </w:rPr>
          <w:t>letter</w:t>
        </w:r>
      </w:hyperlink>
      <w:r w:rsidRPr="00EC72B9">
        <w:rPr>
          <w:rFonts w:eastAsia="Calibri" w:cs="Poppins"/>
          <w:bCs/>
          <w:color w:val="000000"/>
          <w:szCs w:val="20"/>
        </w:rPr>
        <w:t xml:space="preserve"> to State Health Officials to notify them that CMS is extending current state reporting of certain metrics initiated during Medicaid unwinding. CMS is extending these metrics </w:t>
      </w:r>
      <w:proofErr w:type="gramStart"/>
      <w:r w:rsidRPr="00EC72B9">
        <w:rPr>
          <w:rFonts w:eastAsia="Calibri" w:cs="Poppins"/>
          <w:bCs/>
          <w:color w:val="000000"/>
          <w:szCs w:val="20"/>
        </w:rPr>
        <w:t>in order to</w:t>
      </w:r>
      <w:proofErr w:type="gramEnd"/>
      <w:r w:rsidRPr="00EC72B9">
        <w:rPr>
          <w:rFonts w:eastAsia="Calibri" w:cs="Poppins"/>
          <w:bCs/>
          <w:color w:val="000000"/>
          <w:szCs w:val="20"/>
        </w:rPr>
        <w:t xml:space="preserve"> support continued insight into state eligibility and enrollment operations and further strengthen CMS’s ability to identify and address areas of noncompliance with federal renewal and fair hearing requirements. Monthly </w:t>
      </w:r>
      <w:r w:rsidRPr="00EC72B9">
        <w:rPr>
          <w:rFonts w:eastAsia="Calibri" w:cs="Poppins"/>
          <w:bCs/>
          <w:color w:val="000000"/>
          <w:szCs w:val="20"/>
        </w:rPr>
        <w:lastRenderedPageBreak/>
        <w:t xml:space="preserve">state reporting about renewal actions occurring on or after July 1, 2024, and fair hearing requests that have been pending for more than 90 days as of the end of the reporting period, will </w:t>
      </w:r>
      <w:proofErr w:type="gramStart"/>
      <w:r w:rsidRPr="00EC72B9">
        <w:rPr>
          <w:rFonts w:eastAsia="Calibri" w:cs="Poppins"/>
          <w:bCs/>
          <w:color w:val="000000"/>
          <w:szCs w:val="20"/>
        </w:rPr>
        <w:t>continue on</w:t>
      </w:r>
      <w:proofErr w:type="gramEnd"/>
      <w:r w:rsidRPr="00EC72B9">
        <w:rPr>
          <w:rFonts w:eastAsia="Calibri" w:cs="Poppins"/>
          <w:bCs/>
          <w:color w:val="000000"/>
          <w:szCs w:val="20"/>
        </w:rPr>
        <w:t xml:space="preserve"> an ongoing basis. These metrics will continue to be publicly reported to ensure program transparency.</w:t>
      </w:r>
    </w:p>
    <w:p w14:paraId="4D63F5A2" w14:textId="5ED304FE" w:rsidR="00330820" w:rsidRPr="00330820" w:rsidRDefault="00226ACA" w:rsidP="00330820">
      <w:pPr>
        <w:pStyle w:val="Heading1"/>
        <w:rPr>
          <w:rFonts w:ascii="Poppins SemiBold" w:hAnsi="Poppins SemiBold" w:cs="Poppins SemiBold"/>
          <w:sz w:val="32"/>
          <w:szCs w:val="16"/>
        </w:rPr>
      </w:pPr>
      <w:r w:rsidRPr="00EC72B9">
        <w:rPr>
          <w:rFonts w:ascii="Poppins SemiBold" w:hAnsi="Poppins SemiBold" w:cs="Poppins SemiBold"/>
          <w:sz w:val="32"/>
          <w:szCs w:val="16"/>
        </w:rPr>
        <w:t>Upcoming</w:t>
      </w:r>
      <w:r w:rsidRPr="00330820">
        <w:rPr>
          <w:rFonts w:ascii="Poppins SemiBold" w:hAnsi="Poppins SemiBold" w:cs="Poppins SemiBold"/>
          <w:sz w:val="32"/>
          <w:szCs w:val="16"/>
        </w:rPr>
        <w:t xml:space="preserve"> Event</w:t>
      </w:r>
      <w:r w:rsidR="00330820" w:rsidRPr="00330820">
        <w:rPr>
          <w:rFonts w:ascii="Poppins SemiBold" w:hAnsi="Poppins SemiBold" w:cs="Poppins SemiBold"/>
          <w:sz w:val="32"/>
          <w:szCs w:val="16"/>
        </w:rPr>
        <w:t>s</w:t>
      </w:r>
    </w:p>
    <w:p w14:paraId="2D90EFA0" w14:textId="22755131" w:rsidR="0012379B" w:rsidRDefault="0012379B" w:rsidP="00330820">
      <w:pPr>
        <w:spacing w:after="240"/>
        <w:rPr>
          <w:rFonts w:ascii="Poppins Medium" w:hAnsi="Poppins Medium" w:cs="Poppins Medium"/>
          <w:color w:val="0F4761" w:themeColor="accent1" w:themeShade="BF"/>
          <w:sz w:val="24"/>
          <w:szCs w:val="28"/>
        </w:rPr>
      </w:pPr>
      <w:r>
        <w:rPr>
          <w:rFonts w:ascii="Poppins Medium" w:hAnsi="Poppins Medium" w:cs="Poppins Medium"/>
          <w:color w:val="0F4761" w:themeColor="accent1" w:themeShade="BF"/>
          <w:sz w:val="24"/>
          <w:szCs w:val="28"/>
        </w:rPr>
        <w:t>Tuesday</w:t>
      </w:r>
    </w:p>
    <w:p w14:paraId="4FBA6EED" w14:textId="73E087C2" w:rsidR="0012379B" w:rsidRPr="0012379B" w:rsidRDefault="0012379B" w:rsidP="0012379B">
      <w:pPr>
        <w:pStyle w:val="ListParagraph"/>
        <w:numPr>
          <w:ilvl w:val="0"/>
          <w:numId w:val="10"/>
        </w:numPr>
        <w:spacing w:after="240"/>
        <w:rPr>
          <w:rFonts w:ascii="Poppins Medium" w:hAnsi="Poppins Medium" w:cs="Poppins Medium"/>
          <w:sz w:val="24"/>
          <w:szCs w:val="28"/>
        </w:rPr>
      </w:pPr>
      <w:r w:rsidRPr="0012379B">
        <w:rPr>
          <w:rFonts w:cs="Poppins"/>
        </w:rPr>
        <w:t xml:space="preserve">The House Ways and Means Social Security Subcommittee will hold </w:t>
      </w:r>
      <w:r>
        <w:rPr>
          <w:rFonts w:cs="Poppins"/>
          <w:color w:val="0F4761" w:themeColor="accent1" w:themeShade="BF"/>
        </w:rPr>
        <w:t xml:space="preserve">a </w:t>
      </w:r>
      <w:hyperlink r:id="rId24" w:history="1">
        <w:r w:rsidRPr="0012379B">
          <w:rPr>
            <w:rStyle w:val="Hyperlink"/>
            <w:rFonts w:cs="Poppins"/>
          </w:rPr>
          <w:t>hearing</w:t>
        </w:r>
      </w:hyperlink>
      <w:r>
        <w:rPr>
          <w:rFonts w:cs="Poppins"/>
          <w:color w:val="0F4761" w:themeColor="accent1" w:themeShade="BF"/>
        </w:rPr>
        <w:t xml:space="preserve"> </w:t>
      </w:r>
      <w:r w:rsidRPr="0012379B">
        <w:rPr>
          <w:rFonts w:cs="Poppins"/>
        </w:rPr>
        <w:t>on “The Social Security Trust Funds n 2024 and Beyond” at 11:00am.</w:t>
      </w:r>
    </w:p>
    <w:p w14:paraId="6DECF007" w14:textId="5AB97A2A" w:rsidR="0012379B" w:rsidRPr="0012379B" w:rsidRDefault="0012379B" w:rsidP="0012379B">
      <w:pPr>
        <w:pStyle w:val="ListParagraph"/>
        <w:numPr>
          <w:ilvl w:val="0"/>
          <w:numId w:val="10"/>
        </w:numPr>
        <w:spacing w:after="240"/>
        <w:rPr>
          <w:rFonts w:ascii="Poppins Medium" w:hAnsi="Poppins Medium" w:cs="Poppins Medium"/>
          <w:color w:val="0F4761" w:themeColor="accent1" w:themeShade="BF"/>
          <w:sz w:val="24"/>
          <w:szCs w:val="28"/>
        </w:rPr>
      </w:pPr>
      <w:r>
        <w:rPr>
          <w:rFonts w:cs="Poppins"/>
        </w:rPr>
        <w:t xml:space="preserve">The House Ways and Means Work and Welfare Subcommittee will hold a </w:t>
      </w:r>
      <w:hyperlink r:id="rId25" w:history="1">
        <w:r w:rsidRPr="0012379B">
          <w:rPr>
            <w:rStyle w:val="Hyperlink"/>
            <w:rFonts w:cs="Poppins"/>
          </w:rPr>
          <w:t>hearing</w:t>
        </w:r>
      </w:hyperlink>
      <w:r>
        <w:rPr>
          <w:rFonts w:cs="Poppins"/>
        </w:rPr>
        <w:t xml:space="preserve"> on “Reforming Unemployment Insurance to Support American Workers and Businesses” at 2:00pm</w:t>
      </w:r>
    </w:p>
    <w:p w14:paraId="78B4789F" w14:textId="6E116D09" w:rsidR="00330820" w:rsidRPr="00BB2A13" w:rsidRDefault="00330820" w:rsidP="00330820">
      <w:pPr>
        <w:spacing w:after="240"/>
        <w:rPr>
          <w:rFonts w:ascii="Poppins Medium" w:hAnsi="Poppins Medium" w:cs="Poppins Medium"/>
          <w:color w:val="0F4761" w:themeColor="accent1" w:themeShade="BF"/>
          <w:sz w:val="24"/>
          <w:szCs w:val="28"/>
        </w:rPr>
      </w:pPr>
      <w:r w:rsidRPr="00BB2A13">
        <w:rPr>
          <w:rFonts w:ascii="Poppins Medium" w:hAnsi="Poppins Medium" w:cs="Poppins Medium"/>
          <w:color w:val="0F4761" w:themeColor="accent1" w:themeShade="BF"/>
          <w:sz w:val="24"/>
          <w:szCs w:val="28"/>
        </w:rPr>
        <w:t xml:space="preserve">Wednesday </w:t>
      </w:r>
    </w:p>
    <w:p w14:paraId="3E845962" w14:textId="77777777" w:rsidR="00330820" w:rsidRPr="004D30A6" w:rsidRDefault="00330820" w:rsidP="00330820">
      <w:pPr>
        <w:pStyle w:val="ListParagraph"/>
        <w:numPr>
          <w:ilvl w:val="0"/>
          <w:numId w:val="6"/>
        </w:numPr>
        <w:shd w:val="clear" w:color="auto" w:fill="FFFFFF"/>
        <w:spacing w:after="240"/>
        <w:rPr>
          <w:rFonts w:eastAsiaTheme="minorEastAsia" w:cs="Poppins"/>
          <w:color w:val="000000" w:themeColor="text1"/>
          <w:szCs w:val="20"/>
        </w:rPr>
      </w:pPr>
      <w:r>
        <w:rPr>
          <w:rFonts w:eastAsiaTheme="minorEastAsia" w:cs="Poppins"/>
          <w:color w:val="000000" w:themeColor="text1"/>
          <w:szCs w:val="20"/>
        </w:rPr>
        <w:t xml:space="preserve">The Senate Special Committee on Aging and the Senate Committee on Veterans’ Affairs will hold a </w:t>
      </w:r>
      <w:hyperlink r:id="rId26" w:history="1">
        <w:r w:rsidRPr="006E425A">
          <w:rPr>
            <w:rStyle w:val="Hyperlink"/>
            <w:rFonts w:eastAsiaTheme="minorEastAsia" w:cs="Poppins"/>
            <w:szCs w:val="20"/>
          </w:rPr>
          <w:t>joint hearing</w:t>
        </w:r>
      </w:hyperlink>
      <w:r>
        <w:rPr>
          <w:rFonts w:eastAsiaTheme="minorEastAsia" w:cs="Poppins"/>
          <w:color w:val="000000" w:themeColor="text1"/>
          <w:szCs w:val="20"/>
        </w:rPr>
        <w:t xml:space="preserve"> on “Heroes at Home: Improving Services for Veterans and their Caregivers” at 10:00am. </w:t>
      </w:r>
    </w:p>
    <w:p w14:paraId="500A072E" w14:textId="77777777" w:rsidR="00330820" w:rsidRDefault="00330820" w:rsidP="00330820">
      <w:pPr>
        <w:spacing w:after="240"/>
        <w:rPr>
          <w:rFonts w:ascii="Poppins Medium" w:hAnsi="Poppins Medium" w:cs="Poppins Medium"/>
          <w:color w:val="0F4761" w:themeColor="accent1" w:themeShade="BF"/>
          <w:sz w:val="24"/>
          <w:szCs w:val="28"/>
        </w:rPr>
      </w:pPr>
      <w:r>
        <w:rPr>
          <w:rFonts w:ascii="Poppins Medium" w:hAnsi="Poppins Medium" w:cs="Poppins Medium"/>
          <w:color w:val="0F4761" w:themeColor="accent1" w:themeShade="BF"/>
          <w:sz w:val="24"/>
          <w:szCs w:val="28"/>
        </w:rPr>
        <w:t>Friday</w:t>
      </w:r>
    </w:p>
    <w:p w14:paraId="07F4C0DD" w14:textId="2AD8247B" w:rsidR="00330820" w:rsidRPr="00330820" w:rsidRDefault="00330820" w:rsidP="00330820">
      <w:pPr>
        <w:pStyle w:val="ListParagraph"/>
        <w:numPr>
          <w:ilvl w:val="0"/>
          <w:numId w:val="6"/>
        </w:numPr>
        <w:spacing w:after="240"/>
        <w:rPr>
          <w:rFonts w:cs="Poppins"/>
          <w:color w:val="0F4761" w:themeColor="accent1" w:themeShade="BF"/>
          <w:sz w:val="24"/>
          <w:szCs w:val="28"/>
        </w:rPr>
      </w:pPr>
      <w:r w:rsidRPr="006E425A">
        <w:rPr>
          <w:rFonts w:cs="Poppins"/>
        </w:rPr>
        <w:t>The Senate Committee on Finance Subcommittee on Social Security, Pensions, and Family Policy</w:t>
      </w:r>
      <w:r>
        <w:rPr>
          <w:rFonts w:cs="Poppins"/>
        </w:rPr>
        <w:t xml:space="preserve"> will hold a </w:t>
      </w:r>
      <w:hyperlink r:id="rId27" w:history="1">
        <w:r w:rsidRPr="006E425A">
          <w:rPr>
            <w:rStyle w:val="Hyperlink"/>
            <w:rFonts w:cs="Poppins"/>
          </w:rPr>
          <w:t>field hearing</w:t>
        </w:r>
      </w:hyperlink>
      <w:r>
        <w:rPr>
          <w:rFonts w:cs="Poppins"/>
        </w:rPr>
        <w:t xml:space="preserve"> on “Keeping the Promise of Social Security for Ohio’s First Responders and Public Servants” at 10:00am. </w:t>
      </w:r>
    </w:p>
    <w:p w14:paraId="29FD21A5" w14:textId="77777777" w:rsidR="009E754B" w:rsidRPr="00725E41" w:rsidRDefault="009E754B" w:rsidP="009E754B">
      <w:pPr>
        <w:spacing w:after="0" w:line="240" w:lineRule="auto"/>
        <w:rPr>
          <w:rFonts w:eastAsia="Calibri" w:cs="Poppins"/>
          <w:szCs w:val="20"/>
        </w:rPr>
      </w:pPr>
    </w:p>
    <w:p w14:paraId="3F6BBBA6" w14:textId="77777777" w:rsidR="00226ACA" w:rsidRPr="00CB5B34" w:rsidRDefault="00226ACA" w:rsidP="00226ACA">
      <w:r>
        <w:rPr>
          <w:noProof/>
        </w:rPr>
        <w:drawing>
          <wp:inline distT="0" distB="0" distL="0" distR="0" wp14:anchorId="3D61299C" wp14:editId="538626C7">
            <wp:extent cx="2275737" cy="565486"/>
            <wp:effectExtent l="0" t="0" r="0" b="6350"/>
            <wp:docPr id="100551752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17528" name="Picture 1" descr="A blue and white logo&#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75737" cy="565486"/>
                    </a:xfrm>
                    <a:prstGeom prst="rect">
                      <a:avLst/>
                    </a:prstGeom>
                  </pic:spPr>
                </pic:pic>
              </a:graphicData>
            </a:graphic>
          </wp:inline>
        </w:drawing>
      </w:r>
      <w:r>
        <w:tab/>
      </w:r>
      <w:r>
        <w:tab/>
      </w:r>
      <w:r>
        <w:tab/>
      </w:r>
      <w:r>
        <w:tab/>
      </w:r>
      <w:r>
        <w:tab/>
      </w:r>
      <w:r>
        <w:tab/>
      </w:r>
      <w:r>
        <w:rPr>
          <w:noProof/>
        </w:rPr>
        <w:drawing>
          <wp:inline distT="0" distB="0" distL="0" distR="0" wp14:anchorId="5C8A89B7" wp14:editId="603A1C17">
            <wp:extent cx="1364036" cy="562148"/>
            <wp:effectExtent l="0" t="0" r="7620" b="9525"/>
            <wp:docPr id="356480994" name="Picture 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480994" name="Picture 5" descr="A blue and black logo&#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64036" cy="562148"/>
                    </a:xfrm>
                    <a:prstGeom prst="rect">
                      <a:avLst/>
                    </a:prstGeom>
                  </pic:spPr>
                </pic:pic>
              </a:graphicData>
            </a:graphic>
          </wp:inline>
        </w:drawing>
      </w:r>
      <w:r>
        <w:tab/>
      </w:r>
      <w:r>
        <w:tab/>
      </w:r>
      <w:r>
        <w:tab/>
      </w:r>
      <w:r>
        <w:rPr>
          <w:noProof/>
        </w:rPr>
        <w:t xml:space="preserve">        </w:t>
      </w:r>
      <w:r>
        <w:tab/>
      </w:r>
      <w:r>
        <w:tab/>
      </w:r>
      <w:r>
        <w:tab/>
      </w:r>
    </w:p>
    <w:p w14:paraId="09C713F1" w14:textId="77777777" w:rsidR="00CD4912" w:rsidRDefault="00CD4912"/>
    <w:sectPr w:rsidR="00CD4912" w:rsidSect="00226ACA">
      <w:headerReference w:type="default" r:id="rId30"/>
      <w:footerReference w:type="default" r:id="rId31"/>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1D0280" w14:textId="77777777" w:rsidR="00A106A5" w:rsidRDefault="00A106A5">
      <w:pPr>
        <w:spacing w:after="0" w:line="240" w:lineRule="auto"/>
      </w:pPr>
      <w:r>
        <w:separator/>
      </w:r>
    </w:p>
  </w:endnote>
  <w:endnote w:type="continuationSeparator" w:id="0">
    <w:p w14:paraId="521D469F" w14:textId="77777777" w:rsidR="00A106A5" w:rsidRDefault="00A10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altName w:val="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B5B1" w14:textId="77777777" w:rsidR="00C65C71" w:rsidRDefault="00000000">
    <w:pPr>
      <w:pStyle w:val="Footer"/>
    </w:pPr>
    <w:r>
      <w:rPr>
        <w:noProof/>
      </w:rPr>
      <mc:AlternateContent>
        <mc:Choice Requires="wps">
          <w:drawing>
            <wp:anchor distT="0" distB="0" distL="114300" distR="114300" simplePos="0" relativeHeight="251659264" behindDoc="0" locked="0" layoutInCell="1" allowOverlap="1" wp14:anchorId="577AF9C1" wp14:editId="23CC4A2A">
              <wp:simplePos x="0" y="0"/>
              <wp:positionH relativeFrom="column">
                <wp:posOffset>-1036320</wp:posOffset>
              </wp:positionH>
              <wp:positionV relativeFrom="paragraph">
                <wp:posOffset>152400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D94D4" w14:textId="77777777" w:rsidR="00C65C71" w:rsidRPr="00107726" w:rsidRDefault="00000000"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AF9C1" id="Rectangle 2" o:spid="_x0000_s1026" style="position:absolute;margin-left:-81.6pt;margin-top:12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" fillcolor="#0e6eb6" stroked="f" strokeweight="1pt">
              <v:fill opacity="39321f"/>
              <v:textbox>
                <w:txbxContent>
                  <w:p w14:paraId="1D4D94D4" w14:textId="77777777" w:rsidR="00C65C71" w:rsidRPr="00107726" w:rsidRDefault="00000000"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D466D5" w14:textId="77777777" w:rsidR="00A106A5" w:rsidRDefault="00A106A5">
      <w:pPr>
        <w:spacing w:after="0" w:line="240" w:lineRule="auto"/>
      </w:pPr>
      <w:r>
        <w:separator/>
      </w:r>
    </w:p>
  </w:footnote>
  <w:footnote w:type="continuationSeparator" w:id="0">
    <w:p w14:paraId="259B2BB4" w14:textId="77777777" w:rsidR="00A106A5" w:rsidRDefault="00A10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AF35" w14:textId="77777777" w:rsidR="00C65C71" w:rsidRDefault="00000000" w:rsidP="00D6115A">
    <w:pPr>
      <w:pStyle w:val="Heading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C71EEF"/>
    <w:multiLevelType w:val="hybridMultilevel"/>
    <w:tmpl w:val="6512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806B17"/>
    <w:multiLevelType w:val="hybridMultilevel"/>
    <w:tmpl w:val="C912317E"/>
    <w:lvl w:ilvl="0" w:tplc="231C713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FE0632"/>
    <w:multiLevelType w:val="hybridMultilevel"/>
    <w:tmpl w:val="8D2C581E"/>
    <w:lvl w:ilvl="0" w:tplc="E354D2DC">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4737D7"/>
    <w:multiLevelType w:val="hybridMultilevel"/>
    <w:tmpl w:val="E1F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384FF9"/>
    <w:multiLevelType w:val="hybridMultilevel"/>
    <w:tmpl w:val="8DD6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371E87"/>
    <w:multiLevelType w:val="multilevel"/>
    <w:tmpl w:val="A43E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8A5765"/>
    <w:multiLevelType w:val="hybridMultilevel"/>
    <w:tmpl w:val="FAE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EDE1A07"/>
    <w:multiLevelType w:val="hybridMultilevel"/>
    <w:tmpl w:val="7908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6C70F64"/>
    <w:multiLevelType w:val="hybridMultilevel"/>
    <w:tmpl w:val="047EBF0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4993187">
    <w:abstractNumId w:val="9"/>
  </w:num>
  <w:num w:numId="2" w16cid:durableId="127743416">
    <w:abstractNumId w:val="7"/>
  </w:num>
  <w:num w:numId="3" w16cid:durableId="1916818253">
    <w:abstractNumId w:val="8"/>
  </w:num>
  <w:num w:numId="4" w16cid:durableId="1562860064">
    <w:abstractNumId w:val="3"/>
  </w:num>
  <w:num w:numId="5" w16cid:durableId="747187781">
    <w:abstractNumId w:val="4"/>
  </w:num>
  <w:num w:numId="6" w16cid:durableId="360473614">
    <w:abstractNumId w:val="1"/>
  </w:num>
  <w:num w:numId="7" w16cid:durableId="2074813228">
    <w:abstractNumId w:val="5"/>
  </w:num>
  <w:num w:numId="8" w16cid:durableId="612904506">
    <w:abstractNumId w:val="0"/>
  </w:num>
  <w:num w:numId="9" w16cid:durableId="941183654">
    <w:abstractNumId w:val="6"/>
  </w:num>
  <w:num w:numId="10" w16cid:durableId="916745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2"/>
    <w:rsid w:val="00014E8F"/>
    <w:rsid w:val="0005263B"/>
    <w:rsid w:val="0012379B"/>
    <w:rsid w:val="00226ACA"/>
    <w:rsid w:val="00273583"/>
    <w:rsid w:val="00286B7D"/>
    <w:rsid w:val="00330820"/>
    <w:rsid w:val="0047795D"/>
    <w:rsid w:val="004B29FC"/>
    <w:rsid w:val="004F260C"/>
    <w:rsid w:val="00540E02"/>
    <w:rsid w:val="006258FD"/>
    <w:rsid w:val="00657D1D"/>
    <w:rsid w:val="006622DA"/>
    <w:rsid w:val="006B6E77"/>
    <w:rsid w:val="00754D4E"/>
    <w:rsid w:val="00791F13"/>
    <w:rsid w:val="007C09BF"/>
    <w:rsid w:val="007E4E3A"/>
    <w:rsid w:val="008C52D4"/>
    <w:rsid w:val="009E754B"/>
    <w:rsid w:val="00A106A5"/>
    <w:rsid w:val="00A73302"/>
    <w:rsid w:val="00AA24EE"/>
    <w:rsid w:val="00AC375B"/>
    <w:rsid w:val="00B712E4"/>
    <w:rsid w:val="00BD3602"/>
    <w:rsid w:val="00BE2FE6"/>
    <w:rsid w:val="00C6549F"/>
    <w:rsid w:val="00C65C71"/>
    <w:rsid w:val="00CD4912"/>
    <w:rsid w:val="00CF61A3"/>
    <w:rsid w:val="00DA483A"/>
    <w:rsid w:val="00EC72B9"/>
    <w:rsid w:val="00F566BA"/>
    <w:rsid w:val="00F87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CB8B7"/>
  <w15:chartTrackingRefBased/>
  <w15:docId w15:val="{7B65F6AA-D1D3-42BC-B124-D4F01E9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ACA"/>
    <w:rPr>
      <w:rFonts w:ascii="Poppins" w:hAnsi="Poppins"/>
      <w:kern w:val="0"/>
      <w:sz w:val="20"/>
      <w14:ligatures w14:val="none"/>
    </w:rPr>
  </w:style>
  <w:style w:type="paragraph" w:styleId="Heading1">
    <w:name w:val="heading 1"/>
    <w:basedOn w:val="Normal"/>
    <w:next w:val="Normal"/>
    <w:link w:val="Heading1Char"/>
    <w:uiPriority w:val="9"/>
    <w:qFormat/>
    <w:rsid w:val="0054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02"/>
    <w:rPr>
      <w:rFonts w:eastAsiaTheme="majorEastAsia" w:cstheme="majorBidi"/>
      <w:color w:val="272727" w:themeColor="text1" w:themeTint="D8"/>
    </w:rPr>
  </w:style>
  <w:style w:type="paragraph" w:styleId="Title">
    <w:name w:val="Title"/>
    <w:basedOn w:val="Normal"/>
    <w:next w:val="Normal"/>
    <w:link w:val="TitleChar"/>
    <w:uiPriority w:val="10"/>
    <w:qFormat/>
    <w:rsid w:val="0054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02"/>
    <w:pPr>
      <w:spacing w:before="160"/>
      <w:jc w:val="center"/>
    </w:pPr>
    <w:rPr>
      <w:i/>
      <w:iCs/>
      <w:color w:val="404040" w:themeColor="text1" w:themeTint="BF"/>
    </w:rPr>
  </w:style>
  <w:style w:type="character" w:customStyle="1" w:styleId="QuoteChar">
    <w:name w:val="Quote Char"/>
    <w:basedOn w:val="DefaultParagraphFont"/>
    <w:link w:val="Quote"/>
    <w:uiPriority w:val="29"/>
    <w:rsid w:val="00540E02"/>
    <w:rPr>
      <w:i/>
      <w:iCs/>
      <w:color w:val="404040" w:themeColor="text1" w:themeTint="BF"/>
    </w:rPr>
  </w:style>
  <w:style w:type="paragraph" w:styleId="ListParagraph">
    <w:name w:val="List Paragraph"/>
    <w:basedOn w:val="Normal"/>
    <w:link w:val="ListParagraphChar"/>
    <w:uiPriority w:val="34"/>
    <w:qFormat/>
    <w:rsid w:val="00540E02"/>
    <w:pPr>
      <w:ind w:left="720"/>
      <w:contextualSpacing/>
    </w:pPr>
  </w:style>
  <w:style w:type="character" w:styleId="IntenseEmphasis">
    <w:name w:val="Intense Emphasis"/>
    <w:basedOn w:val="DefaultParagraphFont"/>
    <w:uiPriority w:val="21"/>
    <w:qFormat/>
    <w:rsid w:val="00540E02"/>
    <w:rPr>
      <w:i/>
      <w:iCs/>
      <w:color w:val="0F4761" w:themeColor="accent1" w:themeShade="BF"/>
    </w:rPr>
  </w:style>
  <w:style w:type="paragraph" w:styleId="IntenseQuote">
    <w:name w:val="Intense Quote"/>
    <w:basedOn w:val="Normal"/>
    <w:next w:val="Normal"/>
    <w:link w:val="IntenseQuoteChar"/>
    <w:uiPriority w:val="30"/>
    <w:qFormat/>
    <w:rsid w:val="0054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02"/>
    <w:rPr>
      <w:i/>
      <w:iCs/>
      <w:color w:val="0F4761" w:themeColor="accent1" w:themeShade="BF"/>
    </w:rPr>
  </w:style>
  <w:style w:type="character" w:styleId="IntenseReference">
    <w:name w:val="Intense Reference"/>
    <w:basedOn w:val="DefaultParagraphFont"/>
    <w:uiPriority w:val="32"/>
    <w:qFormat/>
    <w:rsid w:val="00540E02"/>
    <w:rPr>
      <w:b/>
      <w:bCs/>
      <w:smallCaps/>
      <w:color w:val="0F4761" w:themeColor="accent1" w:themeShade="BF"/>
      <w:spacing w:val="5"/>
    </w:rPr>
  </w:style>
  <w:style w:type="paragraph" w:styleId="Footer">
    <w:name w:val="footer"/>
    <w:basedOn w:val="Normal"/>
    <w:link w:val="FooterChar"/>
    <w:uiPriority w:val="99"/>
    <w:unhideWhenUsed/>
    <w:rsid w:val="00226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CA"/>
    <w:rPr>
      <w:rFonts w:ascii="Poppins" w:hAnsi="Poppins"/>
      <w:kern w:val="0"/>
      <w:sz w:val="20"/>
      <w14:ligatures w14:val="none"/>
    </w:rPr>
  </w:style>
  <w:style w:type="character" w:styleId="Hyperlink">
    <w:name w:val="Hyperlink"/>
    <w:basedOn w:val="DefaultParagraphFont"/>
    <w:uiPriority w:val="99"/>
    <w:unhideWhenUsed/>
    <w:rsid w:val="00226ACA"/>
    <w:rPr>
      <w:color w:val="467886" w:themeColor="hyperlink"/>
      <w:u w:val="single"/>
    </w:rPr>
  </w:style>
  <w:style w:type="character" w:customStyle="1" w:styleId="ListParagraphChar">
    <w:name w:val="List Paragraph Char"/>
    <w:link w:val="ListParagraph"/>
    <w:uiPriority w:val="34"/>
    <w:locked/>
    <w:rsid w:val="00226ACA"/>
  </w:style>
  <w:style w:type="character" w:customStyle="1" w:styleId="normaltextrun">
    <w:name w:val="normaltextrun"/>
    <w:basedOn w:val="DefaultParagraphFont"/>
    <w:rsid w:val="00226ACA"/>
  </w:style>
  <w:style w:type="character" w:customStyle="1" w:styleId="eop">
    <w:name w:val="eop"/>
    <w:basedOn w:val="DefaultParagraphFont"/>
    <w:rsid w:val="00226ACA"/>
  </w:style>
  <w:style w:type="character" w:customStyle="1" w:styleId="contextualspellingandgrammarerror">
    <w:name w:val="contextualspellingandgrammarerror"/>
    <w:basedOn w:val="DefaultParagraphFont"/>
    <w:rsid w:val="00226ACA"/>
  </w:style>
  <w:style w:type="character" w:customStyle="1" w:styleId="mc-toc-title">
    <w:name w:val="mc-toc-title"/>
    <w:basedOn w:val="DefaultParagraphFont"/>
    <w:rsid w:val="00226ACA"/>
  </w:style>
  <w:style w:type="character" w:styleId="UnresolvedMention">
    <w:name w:val="Unresolved Mention"/>
    <w:basedOn w:val="DefaultParagraphFont"/>
    <w:uiPriority w:val="99"/>
    <w:semiHidden/>
    <w:unhideWhenUsed/>
    <w:rsid w:val="00286B7D"/>
    <w:rPr>
      <w:color w:val="605E5C"/>
      <w:shd w:val="clear" w:color="auto" w:fill="E1DFDD"/>
    </w:rPr>
  </w:style>
  <w:style w:type="character" w:styleId="FollowedHyperlink">
    <w:name w:val="FollowedHyperlink"/>
    <w:basedOn w:val="DefaultParagraphFont"/>
    <w:uiPriority w:val="99"/>
    <w:semiHidden/>
    <w:unhideWhenUsed/>
    <w:rsid w:val="00F87569"/>
    <w:rPr>
      <w:color w:val="96607D" w:themeColor="followedHyperlink"/>
      <w:u w:val="single"/>
    </w:rPr>
  </w:style>
  <w:style w:type="paragraph" w:customStyle="1" w:styleId="paragraph">
    <w:name w:val="paragraph"/>
    <w:basedOn w:val="Normal"/>
    <w:rsid w:val="00F56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30820"/>
  </w:style>
  <w:style w:type="paragraph" w:styleId="NormalWeb">
    <w:name w:val="Normal (Web)"/>
    <w:basedOn w:val="Normal"/>
    <w:uiPriority w:val="99"/>
    <w:unhideWhenUsed/>
    <w:rsid w:val="00EC72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5351">
      <w:bodyDiv w:val="1"/>
      <w:marLeft w:val="0"/>
      <w:marRight w:val="0"/>
      <w:marTop w:val="0"/>
      <w:marBottom w:val="0"/>
      <w:divBdr>
        <w:top w:val="none" w:sz="0" w:space="0" w:color="auto"/>
        <w:left w:val="none" w:sz="0" w:space="0" w:color="auto"/>
        <w:bottom w:val="none" w:sz="0" w:space="0" w:color="auto"/>
        <w:right w:val="none" w:sz="0" w:space="0" w:color="auto"/>
      </w:divBdr>
    </w:div>
    <w:div w:id="32266787">
      <w:bodyDiv w:val="1"/>
      <w:marLeft w:val="0"/>
      <w:marRight w:val="0"/>
      <w:marTop w:val="0"/>
      <w:marBottom w:val="0"/>
      <w:divBdr>
        <w:top w:val="none" w:sz="0" w:space="0" w:color="auto"/>
        <w:left w:val="none" w:sz="0" w:space="0" w:color="auto"/>
        <w:bottom w:val="none" w:sz="0" w:space="0" w:color="auto"/>
        <w:right w:val="none" w:sz="0" w:space="0" w:color="auto"/>
      </w:divBdr>
    </w:div>
    <w:div w:id="372852340">
      <w:bodyDiv w:val="1"/>
      <w:marLeft w:val="0"/>
      <w:marRight w:val="0"/>
      <w:marTop w:val="0"/>
      <w:marBottom w:val="0"/>
      <w:divBdr>
        <w:top w:val="none" w:sz="0" w:space="0" w:color="auto"/>
        <w:left w:val="none" w:sz="0" w:space="0" w:color="auto"/>
        <w:bottom w:val="none" w:sz="0" w:space="0" w:color="auto"/>
        <w:right w:val="none" w:sz="0" w:space="0" w:color="auto"/>
      </w:divBdr>
    </w:div>
    <w:div w:id="576982201">
      <w:bodyDiv w:val="1"/>
      <w:marLeft w:val="0"/>
      <w:marRight w:val="0"/>
      <w:marTop w:val="0"/>
      <w:marBottom w:val="0"/>
      <w:divBdr>
        <w:top w:val="none" w:sz="0" w:space="0" w:color="auto"/>
        <w:left w:val="none" w:sz="0" w:space="0" w:color="auto"/>
        <w:bottom w:val="none" w:sz="0" w:space="0" w:color="auto"/>
        <w:right w:val="none" w:sz="0" w:space="0" w:color="auto"/>
      </w:divBdr>
    </w:div>
    <w:div w:id="1184397626">
      <w:bodyDiv w:val="1"/>
      <w:marLeft w:val="0"/>
      <w:marRight w:val="0"/>
      <w:marTop w:val="0"/>
      <w:marBottom w:val="0"/>
      <w:divBdr>
        <w:top w:val="none" w:sz="0" w:space="0" w:color="auto"/>
        <w:left w:val="none" w:sz="0" w:space="0" w:color="auto"/>
        <w:bottom w:val="none" w:sz="0" w:space="0" w:color="auto"/>
        <w:right w:val="none" w:sz="0" w:space="0" w:color="auto"/>
      </w:divBdr>
    </w:div>
    <w:div w:id="189812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bill/118th-congress/senate-bill/4325" TargetMode="External"/><Relationship Id="rId18" Type="http://schemas.openxmlformats.org/officeDocument/2006/relationships/hyperlink" Target="https://www.federalregister.gov/documents/2024/05/29/2024-11761/national-suicide-hotline-act-of-2018" TargetMode="External"/><Relationship Id="rId26" Type="http://schemas.openxmlformats.org/officeDocument/2006/relationships/hyperlink" Target="https://www.aging.senate.gov/hearings/heroes-at-home-improving-services-for-veterans-and-their-caregivers" TargetMode="External"/><Relationship Id="rId3" Type="http://schemas.openxmlformats.org/officeDocument/2006/relationships/settings" Target="settings.xml"/><Relationship Id="rId21" Type="http://schemas.openxmlformats.org/officeDocument/2006/relationships/hyperlink" Target="https://oversight.house.gov/hearing/a-hearing-with-dr-anthony-fauci/" TargetMode="External"/><Relationship Id="rId7" Type="http://schemas.openxmlformats.org/officeDocument/2006/relationships/image" Target="media/image1.png"/><Relationship Id="rId12" Type="http://schemas.openxmlformats.org/officeDocument/2006/relationships/hyperlink" Target="https://www.gao.gov/assets/gao-24-106789.pdf" TargetMode="External"/><Relationship Id="rId17" Type="http://schemas.openxmlformats.org/officeDocument/2006/relationships/hyperlink" Target="https://hhsgov.zoomgov.com/webinar/register/WN_2ErcoJ4oSLqL-Ro1fNyXHw" TargetMode="External"/><Relationship Id="rId25" Type="http://schemas.openxmlformats.org/officeDocument/2006/relationships/hyperlink" Target="https://gop-waysandmeans.house.gov/event/work-welfare-subcommittee-hearing-on-reforming-unemployment-insurance-to-support-american-workers-and-businesse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cl.gov/ICC-Aging" TargetMode="External"/><Relationship Id="rId20" Type="http://schemas.openxmlformats.org/officeDocument/2006/relationships/hyperlink" Target="https://www.kff.org/medicare/issue-brief/in-2024-a-majority-of-states-offer-medicare-advantage-plans-to-their-state-retirees-with-12-offering-medicare-advantage-exclusively/?utm_campaign=KFF-Medicare&amp;utm_medium=email&amp;_hsenc=p2ANqtz-9_ipcT7PQ-jYo6GaO0rRBs-NyavQ04iDDPpyV-jIhRyIgQ1hHuCU4OQRsD3xm7meewKfuJDPL3quXUiMDBV9cvXEuPwg&amp;_hsmi=308258918&amp;utm_content=308258918&amp;utm_source=hs_email" TargetMode="Externa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pe.hhs.gov/dataset-intellectual-developmental-disabilities-linking-data-enhance-person-centered-outcomes" TargetMode="External"/><Relationship Id="rId24" Type="http://schemas.openxmlformats.org/officeDocument/2006/relationships/hyperlink" Target="https://waysandmeans.house.gov/event/social-security-subcommittee-hearing-on-the-social-security-trust-funds-in-2024-and-beyond/"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cl.gov/sites/default/files/ICC-Aging/StrategicFramework-NationalPlanOnAging-2024.pdf" TargetMode="External"/><Relationship Id="rId23" Type="http://schemas.openxmlformats.org/officeDocument/2006/relationships/hyperlink" Target="https://www.medicaid.gov/federal-policy-guidance/downloads/sho24002.pdf" TargetMode="External"/><Relationship Id="rId28" Type="http://schemas.openxmlformats.org/officeDocument/2006/relationships/image" Target="media/image2.jpeg"/><Relationship Id="rId10" Type="http://schemas.openxmlformats.org/officeDocument/2006/relationships/hyperlink" Target="https://aspe.hhs.gov/engaging-people-intellectual-developmental-disabilities" TargetMode="External"/><Relationship Id="rId19" Type="http://schemas.openxmlformats.org/officeDocument/2006/relationships/hyperlink" Target="https://aspe.hhs.gov/sites/default/files/documents/8fc1b15be1d96a55592c62aa35f3a4d0/nhis-q4-2023-data-point.pdf"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spe.hhs.gov/sites/default/files/documents/39bf078c2fcbb24357cc3d6dd590483d/2023-os-pcortf-portfolio-report.pdf" TargetMode="External"/><Relationship Id="rId14" Type="http://schemas.openxmlformats.org/officeDocument/2006/relationships/hyperlink" Target="https://www.aging.senate.gov/hearings/the-older-americans-act-the-local-impact-of-the-law-and-the-upcoming-reauthorization" TargetMode="External"/><Relationship Id="rId22" Type="http://schemas.openxmlformats.org/officeDocument/2006/relationships/hyperlink" Target="https://www.documentcloud.org/documents/24722272-schumer-dear-colleague-on-contraception-legislation" TargetMode="External"/><Relationship Id="rId27" Type="http://schemas.openxmlformats.org/officeDocument/2006/relationships/hyperlink" Target="file://C:\Users\RachelJordan\Healthsperien%20Dropbox\Rachel%20Jordan\Shared%20Client%20Work\Special%20Needs%20Alliance\Newsletters\2024\&#8226;The%20Kaiser%20Family%20Foundation%20(KFF)%20published%20an%20analysis%20on%20trends%20in%20employer-sponsored%20health%20benefits%20for%20Medicare-age%20retirees.%20In%202024,%20nearly%20all%20states%20and%20D.C.%20offer%20Medicare%20Advantage%20(MA)%20plans%20to%20their%20Medicare-age%20retirees,%20with%2012%20states%20providing%20these%20plans%20exclusively.%20This%20shift%20from%20traditional%20retiree%20health%20benefits%20to%20MA%20reflects%20a%20broader%20trend%20among%20large%20employers%20aiming%20to%20manage%20costs%20and%20streamline%20administration.%20MA%20plans%20are%20seen%20as%20a%20cost-saving%20measure%20for%20states,%20potentially%20reducing%20their%20retiree%20health%20liabilities%20significantly.%20For%20example,%20Connecticut%20projected%20substantial%20savings%20and%20a%20reduction%20in%20unfunded%20liabilities%20by%20switching%20to%20MA.%20However,%20this%20shift%20also%20presents%20tradeoffs%20for%20retirees,%20such%20as%20potentially%20limited%20provider%20networks%20and%20the%20need%20for%20prior%20authorization%20for%20some%20services,%20which%20has%20led%20to%20legal%20challenges%20in%20places%20like%20Delaware%20and%20New%20York%20City." TargetMode="External"/><Relationship Id="rId30" Type="http://schemas.openxmlformats.org/officeDocument/2006/relationships/header" Target="header1.xml"/><Relationship Id="rId8" Type="http://schemas.openxmlformats.org/officeDocument/2006/relationships/hyperlink" Target="https://aspe.hhs.gov/reports/os-pcortf-2023-annual-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2322</Words>
  <Characters>13239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Hamburger</dc:creator>
  <cp:keywords/>
  <dc:description/>
  <cp:lastModifiedBy>Rachel Jordan</cp:lastModifiedBy>
  <cp:revision>2</cp:revision>
  <dcterms:created xsi:type="dcterms:W3CDTF">2024-06-03T19:10:00Z</dcterms:created>
  <dcterms:modified xsi:type="dcterms:W3CDTF">2024-06-03T19:10:00Z</dcterms:modified>
</cp:coreProperties>
</file>