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51386CF6"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F260C" w:rsidRPr="00736378">
        <w:rPr>
          <w:rFonts w:ascii="Poppins SemiBold" w:hAnsi="Poppins SemiBold" w:cs="Poppins SemiBold"/>
          <w:noProof/>
          <w:sz w:val="32"/>
          <w:szCs w:val="32"/>
        </w:rPr>
        <w:t>June</w:t>
      </w:r>
      <w:r w:rsidRPr="00736378">
        <w:rPr>
          <w:rFonts w:ascii="Poppins SemiBold" w:hAnsi="Poppins SemiBold" w:cs="Poppins SemiBold"/>
          <w:noProof/>
          <w:sz w:val="32"/>
          <w:szCs w:val="32"/>
        </w:rPr>
        <w:t xml:space="preserve"> </w:t>
      </w:r>
      <w:r w:rsidR="00126FE3" w:rsidRPr="00736378">
        <w:rPr>
          <w:rFonts w:ascii="Poppins SemiBold" w:hAnsi="Poppins SemiBold" w:cs="Poppins SemiBold"/>
          <w:noProof/>
          <w:sz w:val="32"/>
          <w:szCs w:val="32"/>
        </w:rPr>
        <w:t>1</w:t>
      </w:r>
      <w:r w:rsidR="00C37508">
        <w:rPr>
          <w:rFonts w:ascii="Poppins SemiBold" w:hAnsi="Poppins SemiBold" w:cs="Poppins SemiBold"/>
          <w:noProof/>
          <w:sz w:val="32"/>
          <w:szCs w:val="32"/>
        </w:rPr>
        <w:t>8</w:t>
      </w:r>
      <w:r w:rsidRPr="00736378">
        <w:rPr>
          <w:rFonts w:ascii="Poppins SemiBold" w:hAnsi="Poppins SemiBold" w:cs="Poppins SemiBold"/>
          <w:noProof/>
          <w:sz w:val="32"/>
          <w:szCs w:val="32"/>
        </w:rPr>
        <w:t>, 2024</w:t>
      </w:r>
    </w:p>
    <w:p w14:paraId="6A6520EB" w14:textId="3562E1C1" w:rsidR="009D4885" w:rsidRPr="009D4885" w:rsidRDefault="00B17242" w:rsidP="009D4885">
      <w:pPr>
        <w:pStyle w:val="ListParagraph"/>
        <w:numPr>
          <w:ilvl w:val="0"/>
          <w:numId w:val="1"/>
        </w:numPr>
        <w:spacing w:before="24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Senate Investigation Finds Residential Treatment Facilities as Detrimental to Children with Developmental Disabilities and Behavioral Needs</w:t>
      </w:r>
    </w:p>
    <w:p w14:paraId="73803D40" w14:textId="32DE745F" w:rsidR="00B17242" w:rsidRPr="00E007ED" w:rsidRDefault="00B17242" w:rsidP="00E007ED">
      <w:pPr>
        <w:pStyle w:val="ListParagraph"/>
        <w:spacing w:before="240" w:after="0"/>
        <w:ind w:left="360"/>
        <w:rPr>
          <w:rFonts w:cs="Poppins"/>
          <w:szCs w:val="20"/>
        </w:rPr>
      </w:pPr>
      <w:r>
        <w:rPr>
          <w:rFonts w:cs="Poppins"/>
          <w:szCs w:val="20"/>
        </w:rPr>
        <w:t xml:space="preserve">A Senate Committee on Finance Staff </w:t>
      </w:r>
      <w:hyperlink r:id="rId8" w:history="1">
        <w:r w:rsidRPr="00B17242">
          <w:rPr>
            <w:rStyle w:val="Hyperlink"/>
            <w:rFonts w:cs="Poppins"/>
            <w:szCs w:val="20"/>
          </w:rPr>
          <w:t>Rep</w:t>
        </w:r>
        <w:r w:rsidRPr="00B17242">
          <w:rPr>
            <w:rStyle w:val="Hyperlink"/>
            <w:rFonts w:cs="Poppins"/>
            <w:szCs w:val="20"/>
          </w:rPr>
          <w:t>o</w:t>
        </w:r>
        <w:r w:rsidRPr="00B17242">
          <w:rPr>
            <w:rStyle w:val="Hyperlink"/>
            <w:rFonts w:cs="Poppins"/>
            <w:szCs w:val="20"/>
          </w:rPr>
          <w:t>rt</w:t>
        </w:r>
      </w:hyperlink>
      <w:r>
        <w:rPr>
          <w:rFonts w:cs="Poppins"/>
          <w:szCs w:val="20"/>
        </w:rPr>
        <w:t xml:space="preserve"> based on a two-year investigation found that children with developmental disabilities and other behavioral needs who received treatment in in residential treatment facilities (RTFs) are at risk of regularly experiencing physical, sexual, and verbal abuse. The report focuses on four of the nation’s largest providers of residential treatment facilities: Universal Health Services, Acadia Healthcare, Devereux Advanced Behavioral Health, and Vivant Behavioral Healthcare. These providers fail to individualize treatment plans and care for t</w:t>
      </w:r>
      <w:r w:rsidR="000302F7">
        <w:rPr>
          <w:rFonts w:cs="Poppins"/>
          <w:szCs w:val="20"/>
        </w:rPr>
        <w:t xml:space="preserve">hose with special needs and often staff generalized supervisors who may lack the training, experience, and tools necessary to adequately meet the needs of children in their care. </w:t>
      </w:r>
      <w:r w:rsidRPr="000302F7">
        <w:rPr>
          <w:rFonts w:cs="Poppins"/>
          <w:szCs w:val="20"/>
        </w:rPr>
        <w:t xml:space="preserve">The Report states that the </w:t>
      </w:r>
      <w:r w:rsidR="00C37508" w:rsidRPr="000302F7">
        <w:rPr>
          <w:rFonts w:cs="Poppins"/>
          <w:szCs w:val="20"/>
        </w:rPr>
        <w:t>harm</w:t>
      </w:r>
      <w:r w:rsidRPr="000302F7">
        <w:rPr>
          <w:rFonts w:cs="Poppins"/>
          <w:szCs w:val="20"/>
        </w:rPr>
        <w:t xml:space="preserve"> suffered by children at RTFs </w:t>
      </w:r>
      <w:proofErr w:type="gramStart"/>
      <w:r w:rsidRPr="000302F7">
        <w:rPr>
          <w:rFonts w:cs="Poppins"/>
          <w:szCs w:val="20"/>
        </w:rPr>
        <w:t>are</w:t>
      </w:r>
      <w:proofErr w:type="gramEnd"/>
      <w:r w:rsidRPr="000302F7">
        <w:rPr>
          <w:rFonts w:cs="Poppins"/>
          <w:szCs w:val="20"/>
        </w:rPr>
        <w:t xml:space="preserve"> endemic to the profit-driven RTF operating model. </w:t>
      </w:r>
      <w:r w:rsidR="000302F7">
        <w:rPr>
          <w:rFonts w:cs="Poppins"/>
          <w:szCs w:val="20"/>
        </w:rPr>
        <w:t xml:space="preserve">The Committee called on local and state governments, federal agencies, accrediting bodies, and residential treatment facilities to improve standards and oversight in addition to prioritizing community-based services. </w:t>
      </w:r>
    </w:p>
    <w:p w14:paraId="26894919" w14:textId="77777777" w:rsidR="00E007ED" w:rsidRDefault="00E007ED" w:rsidP="009D4885">
      <w:pPr>
        <w:pStyle w:val="ListParagraph"/>
        <w:spacing w:before="240" w:after="0"/>
        <w:ind w:left="360"/>
        <w:rPr>
          <w:rFonts w:cs="Poppins"/>
          <w:szCs w:val="20"/>
        </w:rPr>
      </w:pPr>
    </w:p>
    <w:p w14:paraId="6D6E4D4A" w14:textId="4D81A8D7" w:rsidR="00E007ED" w:rsidRPr="00E007ED" w:rsidRDefault="00733CC7" w:rsidP="009A0A1F">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SCOTUS</w:t>
      </w:r>
      <w:r w:rsidR="00E007ED">
        <w:rPr>
          <w:rFonts w:ascii="Poppins Medium" w:hAnsi="Poppins Medium" w:cs="Poppins Medium"/>
          <w:color w:val="0F4761" w:themeColor="accent1" w:themeShade="BF"/>
          <w:sz w:val="24"/>
          <w:szCs w:val="24"/>
        </w:rPr>
        <w:t xml:space="preserve"> Will Not Hear Arguments on </w:t>
      </w:r>
      <w:r>
        <w:rPr>
          <w:rFonts w:ascii="Poppins Medium" w:hAnsi="Poppins Medium" w:cs="Poppins Medium"/>
          <w:color w:val="0F4761" w:themeColor="accent1" w:themeShade="BF"/>
          <w:sz w:val="24"/>
          <w:szCs w:val="24"/>
        </w:rPr>
        <w:t>Parents’ Right to</w:t>
      </w:r>
      <w:r w:rsidR="00E007ED">
        <w:rPr>
          <w:rFonts w:ascii="Poppins Medium" w:hAnsi="Poppins Medium" w:cs="Poppins Medium"/>
          <w:color w:val="0F4761" w:themeColor="accent1" w:themeShade="BF"/>
          <w:sz w:val="24"/>
          <w:szCs w:val="24"/>
        </w:rPr>
        <w:t xml:space="preserve"> Record IEP Meetings</w:t>
      </w:r>
    </w:p>
    <w:p w14:paraId="1D0462F6" w14:textId="1B231EA1" w:rsidR="00E007ED" w:rsidRDefault="00E007ED" w:rsidP="00E007ED">
      <w:pPr>
        <w:pStyle w:val="ListParagraph"/>
        <w:spacing w:before="240" w:after="0"/>
        <w:ind w:left="360"/>
        <w:rPr>
          <w:rFonts w:cs="Poppins"/>
          <w:szCs w:val="20"/>
        </w:rPr>
      </w:pPr>
      <w:r>
        <w:rPr>
          <w:rFonts w:cs="Poppins"/>
          <w:szCs w:val="20"/>
        </w:rPr>
        <w:t xml:space="preserve">The Supreme Court declined to consider </w:t>
      </w:r>
      <w:r w:rsidRPr="00E007ED">
        <w:rPr>
          <w:rFonts w:cs="Poppins"/>
          <w:i/>
          <w:iCs/>
          <w:szCs w:val="20"/>
        </w:rPr>
        <w:t>Pitta v. Medeiros</w:t>
      </w:r>
      <w:r>
        <w:rPr>
          <w:rFonts w:cs="Poppins"/>
          <w:szCs w:val="20"/>
        </w:rPr>
        <w:t xml:space="preserve">, a </w:t>
      </w:r>
      <w:hyperlink r:id="rId9" w:history="1">
        <w:r w:rsidRPr="00E007ED">
          <w:rPr>
            <w:rStyle w:val="Hyperlink"/>
            <w:rFonts w:cs="Poppins"/>
            <w:szCs w:val="20"/>
          </w:rPr>
          <w:t>c</w:t>
        </w:r>
        <w:r w:rsidRPr="00E007ED">
          <w:rPr>
            <w:rStyle w:val="Hyperlink"/>
            <w:rFonts w:cs="Poppins"/>
            <w:szCs w:val="20"/>
          </w:rPr>
          <w:t>a</w:t>
        </w:r>
        <w:r w:rsidRPr="00E007ED">
          <w:rPr>
            <w:rStyle w:val="Hyperlink"/>
            <w:rFonts w:cs="Poppins"/>
            <w:szCs w:val="20"/>
          </w:rPr>
          <w:t>se</w:t>
        </w:r>
      </w:hyperlink>
      <w:r>
        <w:rPr>
          <w:rFonts w:cs="Poppins"/>
          <w:szCs w:val="20"/>
        </w:rPr>
        <w:t xml:space="preserve"> pertaining to whether parents have the right to record meetings with their child’s school district about special education services. Scott Pitta of Massachusetts had appealed to the Supreme Court earlier this year after lower courts decided that school officials could bar him from video recording a virtual meeting regarding his son’s individualized education program (IEP). Pitta cited his First Amendment right to “record government officials in the performance of their duties,” but lower courts </w:t>
      </w:r>
      <w:r w:rsidR="008A1F3D">
        <w:rPr>
          <w:rFonts w:cs="Poppins"/>
          <w:szCs w:val="20"/>
        </w:rPr>
        <w:t>deemed that the First Amendment did not apply because school employees engaged in a closed-door meeting and not in a “public space.”</w:t>
      </w:r>
    </w:p>
    <w:p w14:paraId="7DF7CB94" w14:textId="77777777" w:rsidR="00736378" w:rsidRPr="00C24621" w:rsidRDefault="00736378" w:rsidP="00736378">
      <w:pPr>
        <w:pStyle w:val="ListParagraph"/>
        <w:numPr>
          <w:ilvl w:val="0"/>
          <w:numId w:val="1"/>
        </w:numPr>
        <w:spacing w:after="0"/>
        <w:rPr>
          <w:rStyle w:val="normaltextrun"/>
          <w:rFonts w:ascii="Poppins Medium" w:hAnsi="Poppins Medium" w:cs="Poppins Medium"/>
          <w:color w:val="0F4761" w:themeColor="accent1" w:themeShade="BF"/>
          <w:sz w:val="24"/>
          <w:szCs w:val="28"/>
        </w:rPr>
      </w:pPr>
      <w:bookmarkStart w:id="0" w:name="_Hlk168916526"/>
      <w:r>
        <w:rPr>
          <w:rFonts w:ascii="Poppins Medium" w:hAnsi="Poppins Medium" w:cs="Poppins Medium"/>
          <w:color w:val="0F4761" w:themeColor="accent1" w:themeShade="BF"/>
          <w:sz w:val="24"/>
          <w:szCs w:val="28"/>
        </w:rPr>
        <w:lastRenderedPageBreak/>
        <w:t>ASPE Releases Key Findings on Medicaid Behavioral Health Services Related to Youth Involved in the Child Welfare System</w:t>
      </w:r>
    </w:p>
    <w:bookmarkEnd w:id="0"/>
    <w:p w14:paraId="2649DE6F" w14:textId="0FF2C3FF" w:rsidR="00736378" w:rsidRPr="00E83686" w:rsidRDefault="00736378" w:rsidP="00736378">
      <w:pPr>
        <w:spacing w:after="0" w:line="240" w:lineRule="auto"/>
        <w:ind w:left="360"/>
        <w:rPr>
          <w:rFonts w:cs="Poppins"/>
          <w:color w:val="000000"/>
          <w:shd w:val="clear" w:color="auto" w:fill="FFFFFF"/>
        </w:rPr>
      </w:pPr>
      <w:r>
        <w:rPr>
          <w:rFonts w:cs="Poppins"/>
          <w:color w:val="000000"/>
          <w:shd w:val="clear" w:color="auto" w:fill="FFFFFF"/>
        </w:rPr>
        <w:t>T</w:t>
      </w:r>
      <w:r w:rsidRPr="00E83686">
        <w:rPr>
          <w:rFonts w:cs="Poppins"/>
          <w:color w:val="000000"/>
          <w:shd w:val="clear" w:color="auto" w:fill="FFFFFF"/>
        </w:rPr>
        <w:t xml:space="preserve">he Office of the Assistant Secretary for Planning and Evaluation (ASPE) </w:t>
      </w:r>
      <w:hyperlink r:id="rId10" w:tgtFrame="_blank" w:history="1">
        <w:r w:rsidRPr="00E83686">
          <w:rPr>
            <w:rStyle w:val="Hyperlink"/>
            <w:rFonts w:cs="Poppins"/>
            <w:shd w:val="clear" w:color="auto" w:fill="FFFFFF"/>
          </w:rPr>
          <w:t>released key find</w:t>
        </w:r>
        <w:r w:rsidRPr="00E83686">
          <w:rPr>
            <w:rStyle w:val="Hyperlink"/>
            <w:rFonts w:cs="Poppins"/>
            <w:shd w:val="clear" w:color="auto" w:fill="FFFFFF"/>
          </w:rPr>
          <w:t>i</w:t>
        </w:r>
        <w:r w:rsidRPr="00E83686">
          <w:rPr>
            <w:rStyle w:val="Hyperlink"/>
            <w:rFonts w:cs="Poppins"/>
            <w:shd w:val="clear" w:color="auto" w:fill="FFFFFF"/>
          </w:rPr>
          <w:t>ngs</w:t>
        </w:r>
      </w:hyperlink>
      <w:r w:rsidRPr="00E83686">
        <w:rPr>
          <w:rFonts w:cs="Poppins"/>
          <w:color w:val="000000"/>
          <w:shd w:val="clear" w:color="auto" w:fill="FFFFFF"/>
        </w:rPr>
        <w:t xml:space="preserve"> </w:t>
      </w:r>
      <w:r>
        <w:rPr>
          <w:rFonts w:cs="Poppins"/>
          <w:color w:val="000000"/>
          <w:shd w:val="clear" w:color="auto" w:fill="FFFFFF"/>
        </w:rPr>
        <w:t xml:space="preserve">on June 10 </w:t>
      </w:r>
      <w:r w:rsidRPr="00E83686">
        <w:rPr>
          <w:rFonts w:cs="Poppins"/>
          <w:color w:val="000000"/>
          <w:shd w:val="clear" w:color="auto" w:fill="FFFFFF"/>
        </w:rPr>
        <w:t>based on data from 2018-2020. The data evaluates national trends in behavioral health services for youth in the child welfare system compared to other beneficiaries and racial/ethnic differences in child welfare compared to non-welfare youth. Key findings include</w:t>
      </w:r>
      <w:r w:rsidR="00C37508">
        <w:rPr>
          <w:rFonts w:cs="Poppins"/>
          <w:color w:val="000000"/>
          <w:shd w:val="clear" w:color="auto" w:fill="FFFFFF"/>
        </w:rPr>
        <w:t>:</w:t>
      </w:r>
    </w:p>
    <w:p w14:paraId="7AE710ED" w14:textId="77777777" w:rsidR="00736378" w:rsidRPr="00E83686" w:rsidRDefault="00736378" w:rsidP="00736378">
      <w:pPr>
        <w:numPr>
          <w:ilvl w:val="0"/>
          <w:numId w:val="18"/>
        </w:numPr>
        <w:spacing w:after="0" w:line="240" w:lineRule="auto"/>
        <w:rPr>
          <w:rFonts w:cs="Poppins"/>
          <w:color w:val="000000"/>
          <w:shd w:val="clear" w:color="auto" w:fill="FFFFFF"/>
        </w:rPr>
      </w:pPr>
      <w:r w:rsidRPr="00E83686">
        <w:rPr>
          <w:rFonts w:cs="Poppins"/>
          <w:color w:val="000000"/>
          <w:shd w:val="clear" w:color="auto" w:fill="FFFFFF"/>
        </w:rPr>
        <w:t>Youth Medicaid and Children’s Health Insurance Plan (CHIP) beneficiaries with child welfare were more likely to use behavioral health services and have more service encounters per beneficiary compared to non-welfare youth Medicaid and CHIP beneficiaries. </w:t>
      </w:r>
    </w:p>
    <w:p w14:paraId="0D8154AE" w14:textId="77777777" w:rsidR="00736378" w:rsidRPr="00E83686" w:rsidRDefault="00736378" w:rsidP="00736378">
      <w:pPr>
        <w:numPr>
          <w:ilvl w:val="0"/>
          <w:numId w:val="18"/>
        </w:numPr>
        <w:spacing w:after="0" w:line="240" w:lineRule="auto"/>
        <w:rPr>
          <w:rFonts w:cs="Poppins"/>
          <w:color w:val="000000"/>
          <w:shd w:val="clear" w:color="auto" w:fill="FFFFFF"/>
        </w:rPr>
      </w:pPr>
      <w:r w:rsidRPr="00E83686">
        <w:rPr>
          <w:rFonts w:cs="Poppins"/>
          <w:color w:val="000000"/>
          <w:shd w:val="clear" w:color="auto" w:fill="FFFFFF"/>
        </w:rPr>
        <w:t>More than half youth Medicaid and CHIP beneficiaries involved in the child welfare system with behavioral health diagnosis used practitioner services including psychotherapy, counseling, and other psychiatric services. </w:t>
      </w:r>
    </w:p>
    <w:p w14:paraId="359A3F00" w14:textId="77777777" w:rsidR="00736378" w:rsidRPr="00E83686" w:rsidRDefault="00736378" w:rsidP="00736378">
      <w:pPr>
        <w:numPr>
          <w:ilvl w:val="0"/>
          <w:numId w:val="18"/>
        </w:numPr>
        <w:spacing w:after="0" w:line="240" w:lineRule="auto"/>
        <w:rPr>
          <w:rFonts w:cs="Poppins"/>
          <w:color w:val="000000"/>
          <w:shd w:val="clear" w:color="auto" w:fill="FFFFFF"/>
        </w:rPr>
      </w:pPr>
      <w:r w:rsidRPr="00E83686">
        <w:rPr>
          <w:rFonts w:cs="Poppins"/>
          <w:color w:val="000000"/>
          <w:shd w:val="clear" w:color="auto" w:fill="FFFFFF"/>
        </w:rPr>
        <w:t>White children use behavioral health services at the highest rates and Asian children use behavioral health services at the lowest rates. </w:t>
      </w:r>
    </w:p>
    <w:p w14:paraId="796FA7C8" w14:textId="77777777" w:rsidR="00736378" w:rsidRPr="00E83686" w:rsidRDefault="00736378" w:rsidP="00736378">
      <w:pPr>
        <w:numPr>
          <w:ilvl w:val="0"/>
          <w:numId w:val="18"/>
        </w:numPr>
        <w:spacing w:after="0" w:line="240" w:lineRule="auto"/>
        <w:rPr>
          <w:rFonts w:cs="Poppins"/>
          <w:color w:val="000000"/>
          <w:shd w:val="clear" w:color="auto" w:fill="FFFFFF"/>
        </w:rPr>
      </w:pPr>
      <w:r w:rsidRPr="00E83686">
        <w:rPr>
          <w:rFonts w:cs="Poppins"/>
          <w:color w:val="000000"/>
          <w:shd w:val="clear" w:color="auto" w:fill="FFFFFF"/>
        </w:rPr>
        <w:t>Racial and ethnic differences in behavioral health service utilization are less pronounced among youth Medicaid and CHIP beneficiaries involved in child welfare systems compared to non-welfare youth Medicaid and CHIP beneficiaries. </w:t>
      </w:r>
    </w:p>
    <w:p w14:paraId="7A291BE5" w14:textId="45D01028" w:rsidR="00E007ED" w:rsidRPr="00736378" w:rsidRDefault="00736378" w:rsidP="00736378">
      <w:pPr>
        <w:spacing w:after="0" w:line="240" w:lineRule="auto"/>
        <w:ind w:left="360"/>
        <w:rPr>
          <w:rFonts w:cs="Poppins"/>
          <w:color w:val="000000"/>
          <w:shd w:val="clear" w:color="auto" w:fill="FFFFFF"/>
        </w:rPr>
      </w:pPr>
      <w:r w:rsidRPr="00E83686">
        <w:rPr>
          <w:rFonts w:cs="Poppins"/>
          <w:color w:val="000000"/>
          <w:shd w:val="clear" w:color="auto" w:fill="FFFFFF"/>
        </w:rPr>
        <w:t>Identified findings can be used to help state child welfare and Medicaid and CHIP agencies to identify opportunities to cooperatively inform decisions about service arrays and resource management.  </w:t>
      </w:r>
    </w:p>
    <w:p w14:paraId="63C480BD" w14:textId="63DD07E9" w:rsidR="00B17242" w:rsidRPr="009D4885" w:rsidRDefault="00733CC7" w:rsidP="00B17242">
      <w:pPr>
        <w:pStyle w:val="ListParagraph"/>
        <w:numPr>
          <w:ilvl w:val="0"/>
          <w:numId w:val="1"/>
        </w:numPr>
        <w:spacing w:before="24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SCOTUS</w:t>
      </w:r>
      <w:r w:rsidR="00B17242">
        <w:rPr>
          <w:rFonts w:ascii="Poppins Medium" w:hAnsi="Poppins Medium" w:cs="Poppins Medium"/>
          <w:color w:val="0F4761" w:themeColor="accent1" w:themeShade="BF"/>
          <w:sz w:val="24"/>
          <w:szCs w:val="24"/>
        </w:rPr>
        <w:t xml:space="preserve"> Rejects Limits on Abortion Drug Mifepristone</w:t>
      </w:r>
    </w:p>
    <w:p w14:paraId="75E636D4" w14:textId="0205D80D" w:rsidR="00B17242" w:rsidRDefault="00B17242" w:rsidP="00B17242">
      <w:pPr>
        <w:pStyle w:val="ListParagraph"/>
        <w:spacing w:before="240" w:after="0"/>
        <w:ind w:left="360"/>
        <w:rPr>
          <w:rFonts w:cs="Poppins"/>
          <w:szCs w:val="20"/>
        </w:rPr>
      </w:pPr>
      <w:r>
        <w:rPr>
          <w:rFonts w:cs="Poppins"/>
          <w:szCs w:val="20"/>
        </w:rPr>
        <w:t>T</w:t>
      </w:r>
      <w:r w:rsidRPr="009D4885">
        <w:rPr>
          <w:rFonts w:cs="Poppins"/>
          <w:szCs w:val="20"/>
        </w:rPr>
        <w:t xml:space="preserve">he Supreme Court </w:t>
      </w:r>
      <w:hyperlink r:id="rId11" w:tgtFrame="_blank" w:history="1">
        <w:r w:rsidRPr="009D4885">
          <w:rPr>
            <w:rStyle w:val="Hyperlink"/>
            <w:rFonts w:cs="Poppins"/>
            <w:szCs w:val="20"/>
          </w:rPr>
          <w:t>ruled</w:t>
        </w:r>
      </w:hyperlink>
      <w:r w:rsidRPr="009D4885">
        <w:rPr>
          <w:rFonts w:cs="Poppins"/>
          <w:szCs w:val="20"/>
        </w:rPr>
        <w:t xml:space="preserve"> unanimously </w:t>
      </w:r>
      <w:r>
        <w:rPr>
          <w:rFonts w:cs="Poppins"/>
          <w:szCs w:val="20"/>
        </w:rPr>
        <w:t xml:space="preserve">last week </w:t>
      </w:r>
      <w:r w:rsidRPr="009D4885">
        <w:rPr>
          <w:rFonts w:cs="Poppins"/>
          <w:szCs w:val="20"/>
        </w:rPr>
        <w:t>to maintain current access to the abortion pill mifepristone, citing that anti-abortion doctors and groups lack the legal grounds to challenge the Food and Drug Administration’s 2016 and 2021 decisions to relax regulatory requirements surrounding the pill. The ruling leaves in place federal regulations allowing patients nationwide to obtain abortion pills online and through the mail. The surge in telehealth prescriptions has made the pill the most common method of abortion, accounting for about two-thirds of all pregnancy terminations in the U.S. The Supreme Court’s decision does not prevent future administrations from restricting access to mifepristone but holds that anti-abortion doctors have not suffered from the FDA’s current policies to an extent that would allow them to sue in federal court.</w:t>
      </w:r>
    </w:p>
    <w:p w14:paraId="35CED147" w14:textId="77777777" w:rsidR="00736378" w:rsidRDefault="00736378" w:rsidP="00B17242">
      <w:pPr>
        <w:pStyle w:val="ListParagraph"/>
        <w:spacing w:before="240" w:after="0"/>
        <w:ind w:left="360"/>
        <w:rPr>
          <w:rFonts w:cs="Poppins"/>
          <w:szCs w:val="20"/>
        </w:rPr>
      </w:pPr>
    </w:p>
    <w:p w14:paraId="397E20E6" w14:textId="77777777" w:rsidR="00736378" w:rsidRPr="00C24621" w:rsidRDefault="00736378" w:rsidP="00736378">
      <w:pPr>
        <w:pStyle w:val="ListParagraph"/>
        <w:numPr>
          <w:ilvl w:val="0"/>
          <w:numId w:val="1"/>
        </w:numPr>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CMCS Releases Informational Bulletin on Increasing Oversight of Managed Care in Medicaid Programs</w:t>
      </w:r>
    </w:p>
    <w:p w14:paraId="36C0E2EF" w14:textId="77777777" w:rsidR="00736378" w:rsidRPr="00F54C3A" w:rsidRDefault="00736378" w:rsidP="00736378">
      <w:pPr>
        <w:pStyle w:val="ListParagraph"/>
        <w:spacing w:after="0" w:line="240" w:lineRule="auto"/>
        <w:ind w:left="360"/>
        <w:rPr>
          <w:rFonts w:cs="Poppins"/>
          <w:color w:val="000000"/>
          <w:szCs w:val="20"/>
          <w:shd w:val="clear" w:color="auto" w:fill="FFFFFF"/>
        </w:rPr>
      </w:pPr>
      <w:r w:rsidRPr="00F54C3A">
        <w:rPr>
          <w:rStyle w:val="normaltextrun"/>
          <w:rFonts w:cs="Poppins"/>
          <w:szCs w:val="20"/>
        </w:rPr>
        <w:t>T</w:t>
      </w:r>
      <w:r w:rsidRPr="00F54C3A">
        <w:rPr>
          <w:rFonts w:cs="Poppins"/>
          <w:color w:val="000000"/>
          <w:shd w:val="clear" w:color="auto" w:fill="FFFFFF"/>
        </w:rPr>
        <w:t xml:space="preserve">he Center for Medicaid and CHIP Services (CMCS) </w:t>
      </w:r>
      <w:hyperlink r:id="rId12" w:tgtFrame="_blank" w:history="1">
        <w:r w:rsidRPr="00F54C3A">
          <w:rPr>
            <w:rStyle w:val="Hyperlink"/>
            <w:rFonts w:cs="Poppins"/>
            <w:shd w:val="clear" w:color="auto" w:fill="FFFFFF"/>
          </w:rPr>
          <w:t>released an informational bulletin</w:t>
        </w:r>
      </w:hyperlink>
      <w:r w:rsidRPr="00F54C3A">
        <w:rPr>
          <w:rFonts w:cs="Poppins"/>
          <w:color w:val="000000"/>
          <w:shd w:val="clear" w:color="auto" w:fill="FFFFFF"/>
        </w:rPr>
        <w:t xml:space="preserve"> to provide states and the Centers for Medicare and Medicaid Services (CMS) with additional tools to improve the monitoring and oversight of managed care in Medicaid and in the Children’s Health Insurance Plan (CHIP). In addition to the </w:t>
      </w:r>
      <w:hyperlink r:id="rId13" w:anchor="content" w:tgtFrame="_blank" w:history="1">
        <w:r w:rsidRPr="00F54C3A">
          <w:rPr>
            <w:rStyle w:val="Hyperlink"/>
            <w:rFonts w:cs="Poppins"/>
            <w:shd w:val="clear" w:color="auto" w:fill="FFFFFF"/>
          </w:rPr>
          <w:t>previous three bulletins</w:t>
        </w:r>
      </w:hyperlink>
      <w:r w:rsidRPr="00F54C3A">
        <w:rPr>
          <w:rFonts w:cs="Poppins"/>
          <w:color w:val="000000"/>
          <w:shd w:val="clear" w:color="auto" w:fill="FFFFFF"/>
        </w:rPr>
        <w:t xml:space="preserve">, this </w:t>
      </w:r>
      <w:r w:rsidRPr="00F54C3A">
        <w:rPr>
          <w:rFonts w:cs="Poppins"/>
          <w:color w:val="000000"/>
          <w:shd w:val="clear" w:color="auto" w:fill="FFFFFF"/>
        </w:rPr>
        <w:lastRenderedPageBreak/>
        <w:t>fourth bulletin released by CMCS emphasized compliance with mental health and substance use disorder (MH/SUD) parity requirements and highlighted prior guidance on reporting templates, technical assistance toolkits, and a web-based reporting portal. CMCS stressed the importance of states' responsibilities to monitor managed care plans in accordance with federal regulations, addressing 13 specific program areas. Recent Office of the Inspector General (OIG) reports revealed deficiencies in states' compliance with MH/SUD parity and prior authorization processes, prompting CMS to remind states of their obligations and to provide additional resources and technical assistance. CMS is also implementing updates to reporting tools such as the Managed Care Program Annual Report (MCPAR), Network Adequacy and Access Assurances Report (NAAAR), and Medical Loss Ratio (MLR) Summary Report to ensure comprehensive data collection and improve transparency. States are urged to submit thorough and timely documentation, maintain robust oversight mechanisms, and ensure public accessibility to compliance information. </w:t>
      </w:r>
    </w:p>
    <w:p w14:paraId="564D3C9A" w14:textId="77777777" w:rsidR="009D4885" w:rsidRDefault="009D4885" w:rsidP="009D4885">
      <w:pPr>
        <w:pStyle w:val="ListParagraph"/>
        <w:spacing w:before="240" w:after="0"/>
        <w:ind w:left="360"/>
        <w:rPr>
          <w:rFonts w:cs="Poppins"/>
          <w:szCs w:val="20"/>
        </w:rPr>
      </w:pPr>
    </w:p>
    <w:p w14:paraId="5378DD01" w14:textId="100F3D46" w:rsidR="009D4885" w:rsidRPr="009D4885" w:rsidRDefault="009D4885" w:rsidP="009D4885">
      <w:pPr>
        <w:pStyle w:val="ListParagraph"/>
        <w:numPr>
          <w:ilvl w:val="0"/>
          <w:numId w:val="1"/>
        </w:numPr>
        <w:spacing w:before="24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Sen. Sanders</w:t>
      </w:r>
      <w:r w:rsidR="00E83686">
        <w:rPr>
          <w:rFonts w:ascii="Poppins Medium" w:hAnsi="Poppins Medium" w:cs="Poppins Medium"/>
          <w:color w:val="0F4761" w:themeColor="accent1" w:themeShade="BF"/>
          <w:sz w:val="24"/>
          <w:szCs w:val="24"/>
        </w:rPr>
        <w:t xml:space="preserve"> Drops Call to Subpoena Novo President on Drug Pricing</w:t>
      </w:r>
    </w:p>
    <w:p w14:paraId="14EFC6DE" w14:textId="4BD53096" w:rsidR="000C35CD" w:rsidRDefault="009D4885" w:rsidP="00E83686">
      <w:pPr>
        <w:pStyle w:val="ListParagraph"/>
        <w:spacing w:before="240"/>
        <w:ind w:left="360"/>
        <w:rPr>
          <w:rFonts w:cs="Poppins"/>
          <w:szCs w:val="20"/>
        </w:rPr>
      </w:pPr>
      <w:r w:rsidRPr="009D4885">
        <w:rPr>
          <w:rFonts w:cs="Poppins"/>
          <w:szCs w:val="20"/>
        </w:rPr>
        <w:t xml:space="preserve">This past Friday, Senate Committee on Health, Education, Labor &amp; Pensions Chair Bernie Sanders (I-VT) </w:t>
      </w:r>
      <w:hyperlink r:id="rId14" w:tgtFrame="_blank" w:history="1">
        <w:r w:rsidRPr="009D4885">
          <w:rPr>
            <w:rStyle w:val="Hyperlink"/>
            <w:rFonts w:cs="Poppins"/>
            <w:szCs w:val="20"/>
          </w:rPr>
          <w:t>dropped</w:t>
        </w:r>
      </w:hyperlink>
      <w:r w:rsidRPr="009D4885">
        <w:rPr>
          <w:rFonts w:cs="Poppins"/>
          <w:szCs w:val="20"/>
        </w:rPr>
        <w:t xml:space="preserve"> his call to subpoena Novo Nordisk’s North American Operations President Doug Langa to testify on why the company charges U.S. customers higher prices for Ozempic and Wegovy, the Danish company’s type-2 diabetes and obesity drugs. Sanders’s decision came after Novo Nordisk’s global CEO, Lars Fruergaard Jørgensen, confirmed he would testify on a solo panel at a hearing scheduled for September. The company suggested that Jørgensen possesses better knowledge to discuss the policy decisions behind why these medications are priced higher in the U.S. compared to other countries. In an April </w:t>
      </w:r>
      <w:hyperlink r:id="rId15" w:tgtFrame="_blank" w:history="1">
        <w:r w:rsidRPr="009D4885">
          <w:rPr>
            <w:rStyle w:val="Hyperlink"/>
            <w:rFonts w:cs="Poppins"/>
            <w:szCs w:val="20"/>
          </w:rPr>
          <w:t>letter</w:t>
        </w:r>
      </w:hyperlink>
      <w:r w:rsidRPr="009D4885">
        <w:rPr>
          <w:rFonts w:cs="Poppins"/>
          <w:szCs w:val="20"/>
        </w:rPr>
        <w:t xml:space="preserve"> requesting information from Novo Nordisk on its pricing, Sanders noted that for a one-month supply of Ozempic and Wegovy, Americans pay $935 and $1,349.02, respectively. For reference, a one-month supply of Ozempic in Canada is $155 and $59 in Germany. </w:t>
      </w:r>
      <w:r w:rsidRPr="00E83686">
        <w:rPr>
          <w:rFonts w:cs="Poppins"/>
          <w:szCs w:val="20"/>
        </w:rPr>
        <w:t> </w:t>
      </w:r>
    </w:p>
    <w:p w14:paraId="2F876160" w14:textId="77777777" w:rsidR="00F54C3A" w:rsidRPr="00E83686" w:rsidRDefault="00F54C3A" w:rsidP="00E83686">
      <w:pPr>
        <w:pStyle w:val="ListParagraph"/>
        <w:spacing w:before="240"/>
        <w:ind w:left="360"/>
        <w:rPr>
          <w:rFonts w:cs="Poppins"/>
          <w:szCs w:val="20"/>
        </w:rPr>
      </w:pPr>
    </w:p>
    <w:p w14:paraId="4189F5FB" w14:textId="6D508DAB" w:rsidR="00C24621" w:rsidRPr="00C24621" w:rsidRDefault="00F54C3A" w:rsidP="00C24621">
      <w:pPr>
        <w:pStyle w:val="ListParagraph"/>
        <w:numPr>
          <w:ilvl w:val="0"/>
          <w:numId w:val="1"/>
        </w:numPr>
        <w:rPr>
          <w:rFonts w:ascii="Poppins Medium" w:hAnsi="Poppins Medium" w:cs="Poppins Medium"/>
          <w:color w:val="0F4761" w:themeColor="accent1" w:themeShade="BF"/>
          <w:sz w:val="24"/>
          <w:szCs w:val="24"/>
        </w:rPr>
      </w:pPr>
      <w:bookmarkStart w:id="1" w:name="_Hlk168916484"/>
      <w:r>
        <w:rPr>
          <w:rFonts w:ascii="Poppins Medium" w:hAnsi="Poppins Medium" w:cs="Poppins Medium"/>
          <w:color w:val="0F4761" w:themeColor="accent1" w:themeShade="BF"/>
          <w:sz w:val="24"/>
          <w:szCs w:val="24"/>
        </w:rPr>
        <w:t>FDA Advisors Unanimously Support Approval of Eli Lilly’s Alzheimer’s Drug</w:t>
      </w:r>
    </w:p>
    <w:p w14:paraId="60042404" w14:textId="73D7B034" w:rsidR="00F54C3A" w:rsidRPr="00F54C3A" w:rsidRDefault="00E83686" w:rsidP="00F54C3A">
      <w:pPr>
        <w:pStyle w:val="ListParagraph"/>
        <w:spacing w:after="0" w:line="240" w:lineRule="auto"/>
        <w:ind w:left="360"/>
        <w:rPr>
          <w:rFonts w:cs="Poppins"/>
          <w:color w:val="000000"/>
          <w:shd w:val="clear" w:color="auto" w:fill="FFFFFF"/>
        </w:rPr>
      </w:pPr>
      <w:bookmarkStart w:id="2" w:name="_Hlk168916493"/>
      <w:bookmarkEnd w:id="1"/>
      <w:r w:rsidRPr="00E83686">
        <w:rPr>
          <w:rFonts w:cs="Poppins"/>
          <w:color w:val="000000"/>
          <w:shd w:val="clear" w:color="auto" w:fill="FFFFFF"/>
        </w:rPr>
        <w:t>O</w:t>
      </w:r>
      <w:r w:rsidR="00F54C3A">
        <w:rPr>
          <w:rStyle w:val="normaltextrun"/>
          <w:rFonts w:cs="Poppins"/>
          <w:szCs w:val="20"/>
        </w:rPr>
        <w:t xml:space="preserve">n June 10, </w:t>
      </w:r>
      <w:r w:rsidR="00F54C3A" w:rsidRPr="00F54C3A">
        <w:rPr>
          <w:rStyle w:val="normaltextrun"/>
          <w:rFonts w:cs="Poppins"/>
          <w:szCs w:val="20"/>
        </w:rPr>
        <w:t xml:space="preserve">11 Advisors on the Food and Drug Administration’s (FDA) Peripheral and Central Nervous System Drugs Advisory Committee </w:t>
      </w:r>
      <w:hyperlink r:id="rId16" w:tgtFrame="_blank" w:history="1">
        <w:r w:rsidR="00F54C3A" w:rsidRPr="00F54C3A">
          <w:rPr>
            <w:rStyle w:val="normaltextrun"/>
            <w:rFonts w:cs="Poppins"/>
            <w:color w:val="0563C1"/>
            <w:szCs w:val="20"/>
            <w:u w:val="single"/>
          </w:rPr>
          <w:t>voted</w:t>
        </w:r>
      </w:hyperlink>
      <w:r w:rsidR="00F54C3A" w:rsidRPr="00F54C3A">
        <w:rPr>
          <w:rStyle w:val="normaltextrun"/>
          <w:rFonts w:cs="Poppins"/>
          <w:szCs w:val="20"/>
        </w:rPr>
        <w:t xml:space="preserve"> in favor of approval for Eli Lilly’s Alzheimer’s Drug, Donanemab. Panelists say the benefits outweigh the risks of the drug </w:t>
      </w:r>
      <w:proofErr w:type="gramStart"/>
      <w:r w:rsidR="00F54C3A" w:rsidRPr="00F54C3A">
        <w:rPr>
          <w:rStyle w:val="normaltextrun"/>
          <w:rFonts w:cs="Poppins"/>
          <w:szCs w:val="20"/>
        </w:rPr>
        <w:t>as long as</w:t>
      </w:r>
      <w:proofErr w:type="gramEnd"/>
      <w:r w:rsidR="00F54C3A" w:rsidRPr="00F54C3A">
        <w:rPr>
          <w:rStyle w:val="normaltextrun"/>
          <w:rFonts w:cs="Poppins"/>
          <w:szCs w:val="20"/>
        </w:rPr>
        <w:t xml:space="preserve"> there is continued data collection and analysis for patients who are Black or Hispanic and patients with Down’s Syndrome or low tau protein levels. 19 of 22 witnesses supported the approval of donanemab with the remaining three citing concerns about side effects. If ultimately approved, the FDA would issue a black box warning to the label, the agency’s strongest warning for serious adverse reactions.</w:t>
      </w:r>
      <w:r w:rsidR="00F54C3A" w:rsidRPr="00F54C3A">
        <w:rPr>
          <w:rStyle w:val="eop"/>
          <w:rFonts w:cs="Poppins"/>
          <w:szCs w:val="20"/>
        </w:rPr>
        <w:t> </w:t>
      </w:r>
    </w:p>
    <w:bookmarkEnd w:id="2"/>
    <w:p w14:paraId="13A9B4D8" w14:textId="77777777" w:rsidR="00F54C3A" w:rsidRDefault="00F54C3A" w:rsidP="00C37508">
      <w:pPr>
        <w:spacing w:after="0" w:line="240" w:lineRule="auto"/>
        <w:rPr>
          <w:rFonts w:cs="Poppins"/>
          <w:color w:val="000000"/>
          <w:shd w:val="clear" w:color="auto" w:fill="FFFFFF"/>
        </w:rPr>
      </w:pPr>
    </w:p>
    <w:p w14:paraId="3E021FC3" w14:textId="5F2C0C5E" w:rsidR="00F54C3A" w:rsidRPr="00C24621" w:rsidRDefault="00F54C3A" w:rsidP="00F54C3A">
      <w:pPr>
        <w:pStyle w:val="ListParagraph"/>
        <w:numPr>
          <w:ilvl w:val="0"/>
          <w:numId w:val="1"/>
        </w:numPr>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MACPAC Releases June 2024 Report to Congress</w:t>
      </w:r>
    </w:p>
    <w:p w14:paraId="7CCD2863" w14:textId="68B4FAC9" w:rsidR="00F54C3A" w:rsidRPr="00F54C3A" w:rsidRDefault="00F54C3A" w:rsidP="00736378">
      <w:pPr>
        <w:pStyle w:val="ListParagraph"/>
        <w:spacing w:after="0" w:line="240" w:lineRule="auto"/>
        <w:ind w:left="360"/>
        <w:rPr>
          <w:rFonts w:cs="Poppins"/>
          <w:color w:val="000000"/>
          <w:szCs w:val="20"/>
          <w:shd w:val="clear" w:color="auto" w:fill="FFFFFF"/>
        </w:rPr>
      </w:pPr>
      <w:r w:rsidRPr="00F54C3A">
        <w:rPr>
          <w:rStyle w:val="normaltextrun"/>
          <w:rFonts w:cs="Poppins"/>
          <w:szCs w:val="20"/>
        </w:rPr>
        <w:t xml:space="preserve">The Medicaid and CHIP Payment and Access Commission (MACPAC) released their June 2024 Report to Congress on Medicaid and CHIP, which features four significant chapters </w:t>
      </w:r>
      <w:r w:rsidRPr="00F54C3A">
        <w:rPr>
          <w:rStyle w:val="normaltextrun"/>
          <w:rFonts w:cs="Poppins"/>
          <w:szCs w:val="20"/>
        </w:rPr>
        <w:lastRenderedPageBreak/>
        <w:t xml:space="preserve">and recommendations. The report calls for increased transparency in Medicaid and CHIP financing by requiring states to report detailed information on non-federal share sources. It also provides tools for states to optimize state Medicaid agency contracts (SMACs) with better coordination for dually eligible individuals. Additionally, the report examines enrollment trends in Medicare Savings Programs (MSPs) and offers recommendations to improve participation rates. Finally, it emphasizes the need for improved demographic data collection in Medicaid to enhance data quality and program management. The full report can be found </w:t>
      </w:r>
      <w:hyperlink r:id="rId17" w:tgtFrame="_blank" w:history="1">
        <w:r w:rsidRPr="00F54C3A">
          <w:rPr>
            <w:rStyle w:val="normaltextrun"/>
            <w:rFonts w:cs="Poppins"/>
            <w:color w:val="467886"/>
            <w:szCs w:val="20"/>
            <w:u w:val="single"/>
          </w:rPr>
          <w:t>here.</w:t>
        </w:r>
      </w:hyperlink>
      <w:r w:rsidRPr="00F54C3A">
        <w:rPr>
          <w:rStyle w:val="normaltextrun"/>
          <w:rFonts w:cs="Poppins"/>
          <w:szCs w:val="20"/>
        </w:rPr>
        <w:t> </w:t>
      </w:r>
      <w:r w:rsidRPr="00F54C3A">
        <w:rPr>
          <w:rStyle w:val="eop"/>
          <w:rFonts w:cs="Poppins"/>
          <w:szCs w:val="20"/>
        </w:rPr>
        <w:t> </w:t>
      </w:r>
      <w:r w:rsidRPr="00F54C3A">
        <w:rPr>
          <w:rFonts w:cs="Poppins"/>
          <w:color w:val="000000"/>
          <w:shd w:val="clear" w:color="auto" w:fill="FFFFFF"/>
        </w:rPr>
        <w:t> </w:t>
      </w:r>
    </w:p>
    <w:p w14:paraId="531EA287" w14:textId="77777777" w:rsidR="00F54C3A" w:rsidRDefault="00F54C3A" w:rsidP="00F54C3A">
      <w:pPr>
        <w:spacing w:after="0" w:line="240" w:lineRule="auto"/>
        <w:rPr>
          <w:rFonts w:cs="Poppins"/>
          <w:color w:val="000000"/>
          <w:shd w:val="clear" w:color="auto" w:fill="FFFFFF"/>
        </w:rPr>
      </w:pPr>
    </w:p>
    <w:p w14:paraId="1913D035" w14:textId="5C475C15" w:rsidR="00F54C3A" w:rsidRPr="00C24621" w:rsidRDefault="00E76838" w:rsidP="00F54C3A">
      <w:pPr>
        <w:pStyle w:val="ListParagraph"/>
        <w:numPr>
          <w:ilvl w:val="0"/>
          <w:numId w:val="1"/>
        </w:numPr>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SAMHSA Announces $31.4 Million in Funding Opportunities for Priority Behavioral Health Needs</w:t>
      </w:r>
    </w:p>
    <w:p w14:paraId="77E71B9E" w14:textId="6FEC35E2" w:rsidR="00E76838" w:rsidRPr="00E76838" w:rsidRDefault="00E76838" w:rsidP="00E76838">
      <w:pPr>
        <w:pStyle w:val="ListParagraph"/>
        <w:spacing w:after="0" w:line="240" w:lineRule="auto"/>
        <w:ind w:left="360"/>
        <w:rPr>
          <w:rFonts w:cs="Poppins"/>
          <w:color w:val="000000"/>
          <w:shd w:val="clear" w:color="auto" w:fill="FFFFFF"/>
        </w:rPr>
      </w:pPr>
      <w:r w:rsidRPr="00E76838">
        <w:rPr>
          <w:rFonts w:cs="Poppins"/>
          <w:color w:val="000000"/>
          <w:szCs w:val="20"/>
          <w:shd w:val="clear" w:color="auto" w:fill="FFFFFF"/>
        </w:rPr>
        <w:t xml:space="preserve">The U.S. Department of Health and Human Services (HHS), through the Substance Abuse and Mental Health Administration (SAMHSA), </w:t>
      </w:r>
      <w:hyperlink r:id="rId18" w:tgtFrame="_blank" w:history="1">
        <w:r w:rsidRPr="00E76838">
          <w:rPr>
            <w:rStyle w:val="Hyperlink"/>
            <w:rFonts w:cs="Poppins"/>
            <w:szCs w:val="20"/>
            <w:shd w:val="clear" w:color="auto" w:fill="FFFFFF"/>
          </w:rPr>
          <w:t>announced</w:t>
        </w:r>
      </w:hyperlink>
      <w:r w:rsidRPr="00E76838">
        <w:rPr>
          <w:rFonts w:cs="Poppins"/>
          <w:color w:val="000000"/>
          <w:szCs w:val="20"/>
          <w:shd w:val="clear" w:color="auto" w:fill="FFFFFF"/>
        </w:rPr>
        <w:t xml:space="preserve"> notices of funding opportunities to strengthen behavioral health for racial and ethnic minorities. These grants aim to provide training and technical assistance for these populations, in addition to integrating primary and behavioral health care. Funding will also support two key pillars of </w:t>
      </w:r>
      <w:hyperlink r:id="rId19" w:anchor=":~:text=The%20Unity%20Agenda%20calls%20for,cancer%20as%20we%20know%20it." w:tgtFrame="_blank" w:history="1">
        <w:r w:rsidRPr="00E76838">
          <w:rPr>
            <w:rStyle w:val="Hyperlink"/>
            <w:rFonts w:cs="Poppins"/>
            <w:szCs w:val="20"/>
            <w:shd w:val="clear" w:color="auto" w:fill="FFFFFF"/>
          </w:rPr>
          <w:t>President Biden’s Unity Agenda</w:t>
        </w:r>
      </w:hyperlink>
      <w:r w:rsidRPr="00E76838">
        <w:rPr>
          <w:rFonts w:cs="Poppins"/>
          <w:color w:val="000000"/>
          <w:szCs w:val="20"/>
          <w:shd w:val="clear" w:color="auto" w:fill="FFFFFF"/>
        </w:rPr>
        <w:t xml:space="preserve"> which address the mental health and overdose crises. The specific funding opportunities are as follows:  </w:t>
      </w:r>
    </w:p>
    <w:p w14:paraId="524E48B1" w14:textId="300E531C" w:rsidR="00E76838" w:rsidRPr="00E76838" w:rsidRDefault="00000000" w:rsidP="00E76838">
      <w:pPr>
        <w:numPr>
          <w:ilvl w:val="0"/>
          <w:numId w:val="19"/>
        </w:numPr>
        <w:spacing w:after="0" w:line="240" w:lineRule="auto"/>
        <w:rPr>
          <w:rFonts w:cs="Poppins"/>
          <w:color w:val="000000"/>
          <w:szCs w:val="20"/>
          <w:shd w:val="clear" w:color="auto" w:fill="FFFFFF"/>
        </w:rPr>
      </w:pPr>
      <w:hyperlink r:id="rId20" w:tgtFrame="_blank" w:history="1">
        <w:r w:rsidR="00E76838" w:rsidRPr="00E76838">
          <w:rPr>
            <w:rStyle w:val="Hyperlink"/>
            <w:rFonts w:cs="Poppins"/>
            <w:szCs w:val="20"/>
            <w:shd w:val="clear" w:color="auto" w:fill="FFFFFF"/>
          </w:rPr>
          <w:t>State Opioid Response/Tribal Opioid Response Technical Assistance</w:t>
        </w:r>
      </w:hyperlink>
      <w:r w:rsidR="00E76838" w:rsidRPr="00E76838">
        <w:rPr>
          <w:rFonts w:ascii="Times New Roman" w:hAnsi="Times New Roman" w:cs="Times New Roman"/>
          <w:color w:val="000000"/>
          <w:szCs w:val="20"/>
          <w:shd w:val="clear" w:color="auto" w:fill="FFFFFF"/>
        </w:rPr>
        <w:t> </w:t>
      </w:r>
      <w:r w:rsidR="00E76838" w:rsidRPr="00E76838">
        <w:rPr>
          <w:rFonts w:cs="Poppins"/>
          <w:color w:val="000000"/>
          <w:szCs w:val="20"/>
          <w:shd w:val="clear" w:color="auto" w:fill="FFFFFF"/>
        </w:rPr>
        <w:t>– $18.5 million </w:t>
      </w:r>
    </w:p>
    <w:p w14:paraId="76917877" w14:textId="4F5AC708" w:rsidR="00E76838" w:rsidRPr="00E76838" w:rsidRDefault="00000000" w:rsidP="00E76838">
      <w:pPr>
        <w:numPr>
          <w:ilvl w:val="0"/>
          <w:numId w:val="20"/>
        </w:numPr>
        <w:spacing w:after="0" w:line="240" w:lineRule="auto"/>
        <w:rPr>
          <w:rFonts w:cs="Poppins"/>
          <w:color w:val="000000"/>
          <w:szCs w:val="20"/>
          <w:shd w:val="clear" w:color="auto" w:fill="FFFFFF"/>
        </w:rPr>
      </w:pPr>
      <w:hyperlink r:id="rId21" w:tgtFrame="_blank" w:history="1">
        <w:r w:rsidR="00E76838" w:rsidRPr="00E76838">
          <w:rPr>
            <w:rStyle w:val="Hyperlink"/>
            <w:rFonts w:cs="Poppins"/>
            <w:szCs w:val="20"/>
            <w:shd w:val="clear" w:color="auto" w:fill="FFFFFF"/>
          </w:rPr>
          <w:t>Minority AIDS Initiative: Substance Use Disorder (SUD) Prevention and Treatment Pilot Program</w:t>
        </w:r>
      </w:hyperlink>
      <w:r w:rsidR="00E76838" w:rsidRPr="00E76838">
        <w:rPr>
          <w:rFonts w:cs="Poppins"/>
          <w:color w:val="000000"/>
          <w:szCs w:val="20"/>
          <w:shd w:val="clear" w:color="auto" w:fill="FFFFFF"/>
        </w:rPr>
        <w:t xml:space="preserve"> – $5.7 million </w:t>
      </w:r>
    </w:p>
    <w:p w14:paraId="0FD7C066" w14:textId="174C4D21" w:rsidR="00E76838" w:rsidRPr="00E76838" w:rsidRDefault="00000000" w:rsidP="00E76838">
      <w:pPr>
        <w:numPr>
          <w:ilvl w:val="0"/>
          <w:numId w:val="21"/>
        </w:numPr>
        <w:spacing w:after="0" w:line="240" w:lineRule="auto"/>
        <w:rPr>
          <w:rFonts w:cs="Poppins"/>
          <w:color w:val="000000"/>
          <w:szCs w:val="20"/>
          <w:shd w:val="clear" w:color="auto" w:fill="FFFFFF"/>
        </w:rPr>
      </w:pPr>
      <w:hyperlink r:id="rId22" w:tgtFrame="_blank" w:history="1">
        <w:r w:rsidR="00E76838" w:rsidRPr="00E76838">
          <w:rPr>
            <w:rStyle w:val="Hyperlink"/>
            <w:rFonts w:cs="Poppins"/>
            <w:szCs w:val="20"/>
            <w:shd w:val="clear" w:color="auto" w:fill="FFFFFF"/>
          </w:rPr>
          <w:t>National Center of Excellence for Integrated Health Solutions</w:t>
        </w:r>
      </w:hyperlink>
      <w:r w:rsidR="00E76838" w:rsidRPr="00E76838">
        <w:rPr>
          <w:rFonts w:ascii="Times New Roman" w:hAnsi="Times New Roman" w:cs="Times New Roman"/>
          <w:color w:val="000000"/>
          <w:szCs w:val="20"/>
          <w:shd w:val="clear" w:color="auto" w:fill="FFFFFF"/>
        </w:rPr>
        <w:t> </w:t>
      </w:r>
      <w:r w:rsidR="00E76838" w:rsidRPr="00E76838">
        <w:rPr>
          <w:rFonts w:cs="Poppins"/>
          <w:color w:val="000000"/>
          <w:szCs w:val="20"/>
          <w:shd w:val="clear" w:color="auto" w:fill="FFFFFF"/>
        </w:rPr>
        <w:t>– $2.7 million</w:t>
      </w:r>
      <w:r w:rsidR="00E76838" w:rsidRPr="00E76838">
        <w:rPr>
          <w:rFonts w:ascii="Times New Roman" w:hAnsi="Times New Roman" w:cs="Times New Roman"/>
          <w:color w:val="000000"/>
          <w:szCs w:val="20"/>
          <w:shd w:val="clear" w:color="auto" w:fill="FFFFFF"/>
        </w:rPr>
        <w:t> </w:t>
      </w:r>
      <w:r w:rsidR="00E76838" w:rsidRPr="00E76838">
        <w:rPr>
          <w:rFonts w:cs="Poppins"/>
          <w:color w:val="000000"/>
          <w:szCs w:val="20"/>
          <w:shd w:val="clear" w:color="auto" w:fill="FFFFFF"/>
        </w:rPr>
        <w:t> </w:t>
      </w:r>
    </w:p>
    <w:p w14:paraId="188B3488" w14:textId="39B06727" w:rsidR="00E76838" w:rsidRPr="00E76838" w:rsidRDefault="00000000" w:rsidP="00E76838">
      <w:pPr>
        <w:numPr>
          <w:ilvl w:val="0"/>
          <w:numId w:val="22"/>
        </w:numPr>
        <w:spacing w:after="0" w:line="240" w:lineRule="auto"/>
        <w:rPr>
          <w:rFonts w:cs="Poppins"/>
          <w:color w:val="000000"/>
          <w:szCs w:val="20"/>
          <w:shd w:val="clear" w:color="auto" w:fill="FFFFFF"/>
        </w:rPr>
      </w:pPr>
      <w:hyperlink r:id="rId23" w:tgtFrame="_blank" w:history="1">
        <w:r w:rsidR="00E76838" w:rsidRPr="00E76838">
          <w:rPr>
            <w:rStyle w:val="Hyperlink"/>
            <w:rFonts w:cs="Poppins"/>
            <w:szCs w:val="20"/>
            <w:shd w:val="clear" w:color="auto" w:fill="FFFFFF"/>
          </w:rPr>
          <w:t>Minority AIDS Initiative: Integrated Behavioral Health and HIV Care for Unsheltered Populations Pilot Project</w:t>
        </w:r>
      </w:hyperlink>
      <w:r w:rsidR="00E76838" w:rsidRPr="00E76838">
        <w:rPr>
          <w:rFonts w:ascii="Times New Roman" w:hAnsi="Times New Roman" w:cs="Times New Roman"/>
          <w:color w:val="000000"/>
          <w:szCs w:val="20"/>
          <w:shd w:val="clear" w:color="auto" w:fill="FFFFFF"/>
        </w:rPr>
        <w:t> </w:t>
      </w:r>
      <w:r w:rsidR="00E76838" w:rsidRPr="00E76838">
        <w:rPr>
          <w:rFonts w:cs="Poppins"/>
          <w:color w:val="000000"/>
          <w:szCs w:val="20"/>
          <w:shd w:val="clear" w:color="auto" w:fill="FFFFFF"/>
        </w:rPr>
        <w:t>– $2.6 million </w:t>
      </w:r>
    </w:p>
    <w:p w14:paraId="2F6B11AF" w14:textId="77777777" w:rsidR="00E76838" w:rsidRPr="00E76838" w:rsidRDefault="00000000" w:rsidP="00E76838">
      <w:pPr>
        <w:numPr>
          <w:ilvl w:val="0"/>
          <w:numId w:val="23"/>
        </w:numPr>
        <w:spacing w:after="0" w:line="240" w:lineRule="auto"/>
        <w:rPr>
          <w:rFonts w:cs="Poppins"/>
          <w:color w:val="000000"/>
          <w:szCs w:val="20"/>
          <w:shd w:val="clear" w:color="auto" w:fill="FFFFFF"/>
        </w:rPr>
      </w:pPr>
      <w:hyperlink r:id="rId24" w:tgtFrame="_blank" w:history="1">
        <w:r w:rsidR="00E76838" w:rsidRPr="00E76838">
          <w:rPr>
            <w:rStyle w:val="Hyperlink"/>
            <w:rFonts w:cs="Poppins"/>
            <w:szCs w:val="20"/>
            <w:shd w:val="clear" w:color="auto" w:fill="FFFFFF"/>
          </w:rPr>
          <w:t>National Peer-Run Training and Technical Assistance Center for Addiction Recovery Support</w:t>
        </w:r>
      </w:hyperlink>
      <w:r w:rsidR="00E76838" w:rsidRPr="00E76838">
        <w:rPr>
          <w:rFonts w:ascii="Times New Roman" w:hAnsi="Times New Roman" w:cs="Times New Roman"/>
          <w:color w:val="000000"/>
          <w:szCs w:val="20"/>
          <w:shd w:val="clear" w:color="auto" w:fill="FFFFFF"/>
        </w:rPr>
        <w:t> </w:t>
      </w:r>
      <w:r w:rsidR="00E76838" w:rsidRPr="00E76838">
        <w:rPr>
          <w:rFonts w:cs="Poppins"/>
          <w:color w:val="000000"/>
          <w:szCs w:val="20"/>
          <w:shd w:val="clear" w:color="auto" w:fill="FFFFFF"/>
        </w:rPr>
        <w:t>– $1.9 million </w:t>
      </w:r>
    </w:p>
    <w:p w14:paraId="090C9346" w14:textId="77777777" w:rsidR="00E76838" w:rsidRPr="00E76838" w:rsidRDefault="00E76838" w:rsidP="00E76838">
      <w:pPr>
        <w:spacing w:after="0" w:line="240" w:lineRule="auto"/>
        <w:rPr>
          <w:rFonts w:cs="Poppins"/>
          <w:color w:val="000000"/>
          <w:szCs w:val="20"/>
          <w:shd w:val="clear" w:color="auto" w:fill="FFFFFF"/>
        </w:rPr>
      </w:pPr>
    </w:p>
    <w:p w14:paraId="610386D4" w14:textId="77777777" w:rsidR="00310E21" w:rsidRPr="00310E21" w:rsidRDefault="00310E21" w:rsidP="00B3175C">
      <w:pPr>
        <w:pStyle w:val="ListParagraph"/>
        <w:numPr>
          <w:ilvl w:val="0"/>
          <w:numId w:val="1"/>
        </w:numPr>
        <w:spacing w:after="0" w:line="240" w:lineRule="auto"/>
        <w:rPr>
          <w:rFonts w:cs="Poppins"/>
          <w:color w:val="000000"/>
          <w:szCs w:val="20"/>
          <w:shd w:val="clear" w:color="auto" w:fill="FFFFFF"/>
        </w:rPr>
      </w:pPr>
      <w:r w:rsidRPr="00310E21">
        <w:rPr>
          <w:rFonts w:ascii="Poppins Medium" w:hAnsi="Poppins Medium" w:cs="Poppins Medium"/>
          <w:color w:val="0F4761" w:themeColor="accent1" w:themeShade="BF"/>
          <w:sz w:val="24"/>
          <w:szCs w:val="24"/>
        </w:rPr>
        <w:t>C</w:t>
      </w:r>
      <w:r>
        <w:rPr>
          <w:rFonts w:ascii="Poppins Medium" w:hAnsi="Poppins Medium" w:cs="Poppins Medium"/>
          <w:color w:val="0F4761" w:themeColor="accent1" w:themeShade="BF"/>
          <w:sz w:val="24"/>
          <w:szCs w:val="24"/>
        </w:rPr>
        <w:t>FPB Proposes Rule to Ban Medical Debt from Credit Reports</w:t>
      </w:r>
    </w:p>
    <w:p w14:paraId="39E93793" w14:textId="6ABC78ED" w:rsidR="00310E21" w:rsidRPr="00310E21" w:rsidRDefault="00310E21" w:rsidP="00310E21">
      <w:pPr>
        <w:pStyle w:val="ListParagraph"/>
        <w:spacing w:after="0" w:line="240" w:lineRule="auto"/>
        <w:ind w:left="360"/>
        <w:rPr>
          <w:rFonts w:cs="Poppins"/>
          <w:color w:val="000000"/>
          <w:shd w:val="clear" w:color="auto" w:fill="FFFFFF"/>
        </w:rPr>
      </w:pPr>
      <w:r w:rsidRPr="00310E21">
        <w:rPr>
          <w:rStyle w:val="normaltextrun"/>
          <w:rFonts w:cs="Poppins"/>
          <w:szCs w:val="20"/>
        </w:rPr>
        <w:t>T</w:t>
      </w:r>
      <w:r w:rsidRPr="00F54C3A">
        <w:rPr>
          <w:rFonts w:cs="Poppins"/>
          <w:color w:val="000000"/>
          <w:shd w:val="clear" w:color="auto" w:fill="FFFFFF"/>
        </w:rPr>
        <w:t>he</w:t>
      </w:r>
      <w:r>
        <w:rPr>
          <w:rFonts w:cs="Poppins"/>
          <w:color w:val="000000"/>
          <w:shd w:val="clear" w:color="auto" w:fill="FFFFFF"/>
        </w:rPr>
        <w:t xml:space="preserve"> </w:t>
      </w:r>
      <w:r w:rsidRPr="00310E21">
        <w:rPr>
          <w:rFonts w:cs="Poppins"/>
          <w:color w:val="000000"/>
          <w:shd w:val="clear" w:color="auto" w:fill="FFFFFF"/>
        </w:rPr>
        <w:t xml:space="preserve">Consumer Financial Protection Bureau (CFPB) </w:t>
      </w:r>
      <w:hyperlink r:id="rId25" w:tgtFrame="_blank" w:history="1">
        <w:r w:rsidRPr="00310E21">
          <w:rPr>
            <w:rStyle w:val="Hyperlink"/>
            <w:rFonts w:cs="Poppins"/>
            <w:shd w:val="clear" w:color="auto" w:fill="FFFFFF"/>
          </w:rPr>
          <w:t>proposed a rule</w:t>
        </w:r>
      </w:hyperlink>
      <w:r w:rsidRPr="00310E21">
        <w:rPr>
          <w:rFonts w:cs="Poppins"/>
          <w:color w:val="000000"/>
          <w:shd w:val="clear" w:color="auto" w:fill="FFFFFF"/>
        </w:rPr>
        <w:t xml:space="preserve"> that would remove medical debt from most credit reports, improve privacy, increase credit scores and loan approvals, and prevent coercive debt collection behaviors. If the proposed rule were promulgated in its current form, </w:t>
      </w:r>
      <w:hyperlink r:id="rId26" w:tgtFrame="_blank" w:history="1">
        <w:r w:rsidRPr="00310E21">
          <w:rPr>
            <w:rStyle w:val="Hyperlink"/>
            <w:rFonts w:cs="Poppins"/>
            <w:shd w:val="clear" w:color="auto" w:fill="FFFFFF"/>
          </w:rPr>
          <w:t>15 million Americans would have a combined $49 billion</w:t>
        </w:r>
      </w:hyperlink>
      <w:r w:rsidRPr="00310E21">
        <w:rPr>
          <w:rFonts w:cs="Poppins"/>
          <w:color w:val="000000"/>
          <w:shd w:val="clear" w:color="auto" w:fill="FFFFFF"/>
        </w:rPr>
        <w:t xml:space="preserve"> in medical debt removed from their credit reports. Specifically, the proposed rule would: </w:t>
      </w:r>
    </w:p>
    <w:p w14:paraId="4305CE61" w14:textId="77777777" w:rsidR="00310E21" w:rsidRPr="00310E21" w:rsidRDefault="00310E21" w:rsidP="00310E21">
      <w:pPr>
        <w:numPr>
          <w:ilvl w:val="0"/>
          <w:numId w:val="24"/>
        </w:numPr>
        <w:spacing w:after="0" w:line="240" w:lineRule="auto"/>
        <w:rPr>
          <w:rFonts w:cs="Poppins"/>
          <w:color w:val="000000"/>
          <w:shd w:val="clear" w:color="auto" w:fill="FFFFFF"/>
        </w:rPr>
      </w:pPr>
      <w:r w:rsidRPr="00310E21">
        <w:rPr>
          <w:rFonts w:cs="Poppins"/>
          <w:color w:val="000000"/>
          <w:shd w:val="clear" w:color="auto" w:fill="FFFFFF"/>
        </w:rPr>
        <w:t>Eliminate the exception that allows medical debt to be used by lenders to make credit eligibility determinations. </w:t>
      </w:r>
    </w:p>
    <w:p w14:paraId="50CB401F" w14:textId="77777777" w:rsidR="00310E21" w:rsidRPr="00310E21" w:rsidRDefault="00310E21" w:rsidP="00310E21">
      <w:pPr>
        <w:numPr>
          <w:ilvl w:val="0"/>
          <w:numId w:val="24"/>
        </w:numPr>
        <w:spacing w:after="0" w:line="240" w:lineRule="auto"/>
        <w:rPr>
          <w:rFonts w:cs="Poppins"/>
          <w:color w:val="000000"/>
          <w:shd w:val="clear" w:color="auto" w:fill="FFFFFF"/>
        </w:rPr>
      </w:pPr>
      <w:r w:rsidRPr="00310E21">
        <w:rPr>
          <w:rFonts w:cs="Poppins"/>
          <w:color w:val="000000"/>
          <w:shd w:val="clear" w:color="auto" w:fill="FFFFFF"/>
        </w:rPr>
        <w:t>Ban credit reporting companies from including medical debt information on credit reports sent to creditors. </w:t>
      </w:r>
    </w:p>
    <w:p w14:paraId="232FE1C5" w14:textId="67EFB662" w:rsidR="00310E21" w:rsidRPr="00E83686" w:rsidRDefault="00310E21" w:rsidP="00310E21">
      <w:pPr>
        <w:numPr>
          <w:ilvl w:val="0"/>
          <w:numId w:val="24"/>
        </w:numPr>
        <w:spacing w:after="0" w:line="240" w:lineRule="auto"/>
        <w:rPr>
          <w:rFonts w:cs="Poppins"/>
          <w:color w:val="000000"/>
          <w:shd w:val="clear" w:color="auto" w:fill="FFFFFF"/>
        </w:rPr>
      </w:pPr>
      <w:r w:rsidRPr="00310E21">
        <w:rPr>
          <w:rFonts w:cs="Poppins"/>
          <w:color w:val="000000"/>
          <w:shd w:val="clear" w:color="auto" w:fill="FFFFFF"/>
        </w:rPr>
        <w:t>Prohibit lenders from using medical devices as collateral on a loan and ban lenders from repossessing medical devices if collecting on a loan. </w:t>
      </w:r>
    </w:p>
    <w:p w14:paraId="10432D78" w14:textId="77777777" w:rsidR="00C24621" w:rsidRPr="00C24621" w:rsidRDefault="00C24621" w:rsidP="00C24621">
      <w:pPr>
        <w:spacing w:after="0" w:line="240" w:lineRule="auto"/>
        <w:ind w:left="360"/>
        <w:rPr>
          <w:b/>
          <w:bCs/>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lastRenderedPageBreak/>
        <w:t>What’s on Tap</w:t>
      </w:r>
    </w:p>
    <w:p w14:paraId="1C954023" w14:textId="5B61B0BA" w:rsidR="0072131F" w:rsidRPr="0072131F" w:rsidRDefault="0072131F" w:rsidP="0072131F">
      <w:pPr>
        <w:pStyle w:val="ListParagraph"/>
        <w:numPr>
          <w:ilvl w:val="0"/>
          <w:numId w:val="1"/>
        </w:numPr>
        <w:pBdr>
          <w:top w:val="nil"/>
          <w:left w:val="nil"/>
          <w:bottom w:val="nil"/>
          <w:right w:val="nil"/>
          <w:between w:val="nil"/>
        </w:pBdr>
        <w:rPr>
          <w:rFonts w:eastAsia="Calibri" w:cs="Poppins"/>
          <w:bCs/>
          <w:color w:val="000000"/>
          <w:szCs w:val="20"/>
        </w:rPr>
      </w:pPr>
      <w:r w:rsidRPr="0072131F">
        <w:rPr>
          <w:rFonts w:eastAsia="Calibri" w:cs="Poppins"/>
          <w:bCs/>
          <w:color w:val="000000"/>
          <w:szCs w:val="20"/>
        </w:rPr>
        <w:t xml:space="preserve">This week, the Senate Homeland Security and Governmental Affairs Committee </w:t>
      </w:r>
      <w:r w:rsidR="00C37508">
        <w:rPr>
          <w:rFonts w:eastAsia="Calibri" w:cs="Poppins"/>
          <w:bCs/>
          <w:color w:val="000000"/>
          <w:szCs w:val="20"/>
        </w:rPr>
        <w:t xml:space="preserve">held </w:t>
      </w:r>
      <w:r w:rsidRPr="0072131F">
        <w:rPr>
          <w:rFonts w:eastAsia="Calibri" w:cs="Poppins"/>
          <w:bCs/>
          <w:color w:val="000000"/>
          <w:szCs w:val="20"/>
        </w:rPr>
        <w:t xml:space="preserve">a </w:t>
      </w:r>
      <w:hyperlink r:id="rId27" w:tgtFrame="_blank" w:history="1">
        <w:r w:rsidRPr="0072131F">
          <w:rPr>
            <w:rStyle w:val="Hyperlink"/>
            <w:rFonts w:eastAsia="Calibri" w:cs="Poppins"/>
            <w:bCs/>
            <w:szCs w:val="20"/>
          </w:rPr>
          <w:t>hear</w:t>
        </w:r>
        <w:r w:rsidRPr="0072131F">
          <w:rPr>
            <w:rStyle w:val="Hyperlink"/>
            <w:rFonts w:eastAsia="Calibri" w:cs="Poppins"/>
            <w:bCs/>
            <w:szCs w:val="20"/>
          </w:rPr>
          <w:t>i</w:t>
        </w:r>
        <w:r w:rsidRPr="0072131F">
          <w:rPr>
            <w:rStyle w:val="Hyperlink"/>
            <w:rFonts w:eastAsia="Calibri" w:cs="Poppins"/>
            <w:bCs/>
            <w:szCs w:val="20"/>
          </w:rPr>
          <w:t>n</w:t>
        </w:r>
        <w:r w:rsidRPr="0072131F">
          <w:rPr>
            <w:rStyle w:val="Hyperlink"/>
            <w:rFonts w:eastAsia="Calibri" w:cs="Poppins"/>
            <w:bCs/>
            <w:szCs w:val="20"/>
          </w:rPr>
          <w:t>g</w:t>
        </w:r>
      </w:hyperlink>
      <w:r w:rsidRPr="0072131F">
        <w:rPr>
          <w:rFonts w:eastAsia="Calibri" w:cs="Poppins"/>
          <w:bCs/>
          <w:color w:val="000000"/>
          <w:szCs w:val="20"/>
        </w:rPr>
        <w:t xml:space="preserve"> to continue the discussion on COVID-19’s origins. This hearing follows Dr. Anthony Fauci’s testimony earlier this month before the House Oversight and Accountability Select Subcommittee on the coronavirus pandemic and his frustrations when confronted with various conspiracy theories and claims regarding his handling of the crisis. </w:t>
      </w:r>
    </w:p>
    <w:p w14:paraId="4D63F5A2" w14:textId="5ED304FE" w:rsidR="00330820" w:rsidRPr="00330820" w:rsidRDefault="00226ACA" w:rsidP="00330820">
      <w:pPr>
        <w:pStyle w:val="Heading1"/>
        <w:rPr>
          <w:rFonts w:ascii="Poppins SemiBold" w:hAnsi="Poppins SemiBold" w:cs="Poppins SemiBold"/>
          <w:sz w:val="32"/>
          <w:szCs w:val="16"/>
        </w:rPr>
      </w:pPr>
      <w:r w:rsidRPr="00CB3B30">
        <w:rPr>
          <w:rFonts w:ascii="Poppins SemiBold" w:hAnsi="Poppins SemiBold" w:cs="Poppins SemiBold"/>
          <w:sz w:val="32"/>
          <w:szCs w:val="16"/>
        </w:rPr>
        <w:t>Upcoming Event</w:t>
      </w:r>
      <w:r w:rsidR="00330820" w:rsidRPr="00CB3B30">
        <w:rPr>
          <w:rFonts w:ascii="Poppins SemiBold" w:hAnsi="Poppins SemiBold" w:cs="Poppins SemiBold"/>
          <w:sz w:val="32"/>
          <w:szCs w:val="16"/>
        </w:rPr>
        <w:t>s</w:t>
      </w:r>
    </w:p>
    <w:p w14:paraId="78B4789F" w14:textId="4C0A1A59" w:rsidR="00330820" w:rsidRPr="00BB2A13" w:rsidRDefault="00C37508"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Thursday</w:t>
      </w:r>
    </w:p>
    <w:p w14:paraId="3E845962" w14:textId="38433E53" w:rsidR="00330820" w:rsidRPr="00CB3B30" w:rsidRDefault="00330820" w:rsidP="00330820">
      <w:pPr>
        <w:pStyle w:val="ListParagraph"/>
        <w:numPr>
          <w:ilvl w:val="0"/>
          <w:numId w:val="6"/>
        </w:numPr>
        <w:shd w:val="clear" w:color="auto" w:fill="FFFFFF"/>
        <w:spacing w:after="240"/>
        <w:rPr>
          <w:rFonts w:eastAsiaTheme="minorEastAsia" w:cs="Poppins"/>
          <w:color w:val="000000" w:themeColor="text1"/>
          <w:szCs w:val="20"/>
        </w:rPr>
      </w:pPr>
      <w:bookmarkStart w:id="3" w:name="_Hlk168921213"/>
      <w:r>
        <w:rPr>
          <w:rFonts w:eastAsiaTheme="minorEastAsia" w:cs="Poppins"/>
          <w:color w:val="000000" w:themeColor="text1"/>
          <w:szCs w:val="20"/>
        </w:rPr>
        <w:t xml:space="preserve">The Senate </w:t>
      </w:r>
      <w:r w:rsidR="00A66668">
        <w:rPr>
          <w:rFonts w:eastAsiaTheme="minorEastAsia" w:cs="Poppins"/>
          <w:color w:val="000000" w:themeColor="text1"/>
          <w:szCs w:val="20"/>
        </w:rPr>
        <w:t xml:space="preserve">Committee on </w:t>
      </w:r>
      <w:r w:rsidR="00C37508">
        <w:rPr>
          <w:rFonts w:eastAsiaTheme="minorEastAsia" w:cs="Poppins"/>
          <w:color w:val="000000" w:themeColor="text1"/>
          <w:szCs w:val="20"/>
        </w:rPr>
        <w:t>Health, Education, Labor, and Pensions</w:t>
      </w:r>
      <w:r w:rsidR="00A66668">
        <w:rPr>
          <w:rFonts w:eastAsiaTheme="minorEastAsia" w:cs="Poppins"/>
          <w:color w:val="000000" w:themeColor="text1"/>
          <w:szCs w:val="20"/>
        </w:rPr>
        <w:t xml:space="preserve"> will hold a </w:t>
      </w:r>
      <w:hyperlink r:id="rId28" w:history="1">
        <w:r w:rsidR="00A66668" w:rsidRPr="00C37508">
          <w:rPr>
            <w:rStyle w:val="Hyperlink"/>
            <w:rFonts w:eastAsiaTheme="minorEastAsia" w:cs="Poppins"/>
            <w:szCs w:val="20"/>
          </w:rPr>
          <w:t>hearing</w:t>
        </w:r>
      </w:hyperlink>
      <w:r w:rsidR="00A66668">
        <w:rPr>
          <w:rFonts w:eastAsiaTheme="minorEastAsia" w:cs="Poppins"/>
          <w:color w:val="000000" w:themeColor="text1"/>
          <w:szCs w:val="20"/>
        </w:rPr>
        <w:t xml:space="preserve"> on “</w:t>
      </w:r>
      <w:r w:rsidR="00C37508">
        <w:rPr>
          <w:rFonts w:eastAsiaTheme="minorEastAsia" w:cs="Poppins"/>
          <w:color w:val="000000" w:themeColor="text1"/>
          <w:szCs w:val="20"/>
        </w:rPr>
        <w:t xml:space="preserve">The Immediate and Long-Term Challenges Facing Public School Teachers: Low Pay, Teacher Shortages, and Underfunded Public Schools” at 9:00am. </w:t>
      </w:r>
      <w:r w:rsidR="00CB3B30" w:rsidRPr="00CB3B30">
        <w:rPr>
          <w:rFonts w:eastAsiaTheme="minorEastAsia" w:cs="Poppins"/>
          <w:color w:val="000000" w:themeColor="text1"/>
          <w:szCs w:val="20"/>
        </w:rPr>
        <w:t xml:space="preserve"> </w:t>
      </w:r>
    </w:p>
    <w:bookmarkEnd w:id="3"/>
    <w:p w14:paraId="29FD21A5" w14:textId="77777777" w:rsidR="009E754B" w:rsidRDefault="009E754B" w:rsidP="009E754B">
      <w:pPr>
        <w:spacing w:after="0" w:line="240" w:lineRule="auto"/>
        <w:rPr>
          <w:rFonts w:ascii="Poppins Medium" w:hAnsi="Poppins Medium" w:cs="Poppins Medium"/>
          <w:color w:val="0F4761" w:themeColor="accent1" w:themeShade="BF"/>
          <w:sz w:val="24"/>
          <w:szCs w:val="28"/>
        </w:rPr>
      </w:pPr>
    </w:p>
    <w:p w14:paraId="002A6677" w14:textId="77777777" w:rsidR="00CB3B30" w:rsidRDefault="00CB3B30" w:rsidP="009E754B">
      <w:pPr>
        <w:spacing w:after="0" w:line="240" w:lineRule="auto"/>
        <w:rPr>
          <w:rFonts w:ascii="Poppins Medium" w:hAnsi="Poppins Medium" w:cs="Poppins Medium"/>
          <w:color w:val="0F4761" w:themeColor="accent1" w:themeShade="BF"/>
          <w:sz w:val="24"/>
          <w:szCs w:val="28"/>
        </w:rPr>
      </w:pPr>
    </w:p>
    <w:p w14:paraId="78F9F040" w14:textId="77777777" w:rsidR="00CB3B30" w:rsidRDefault="00CB3B30" w:rsidP="009E754B">
      <w:pPr>
        <w:spacing w:after="0" w:line="240" w:lineRule="auto"/>
        <w:rPr>
          <w:rFonts w:ascii="Poppins Medium" w:hAnsi="Poppins Medium" w:cs="Poppins Medium"/>
          <w:color w:val="0F4761" w:themeColor="accent1" w:themeShade="BF"/>
          <w:sz w:val="24"/>
          <w:szCs w:val="28"/>
        </w:rPr>
      </w:pPr>
    </w:p>
    <w:p w14:paraId="0EC12A98" w14:textId="77777777" w:rsidR="00CB3B30" w:rsidRDefault="00CB3B30" w:rsidP="009E754B">
      <w:pPr>
        <w:spacing w:after="0" w:line="240" w:lineRule="auto"/>
        <w:rPr>
          <w:rFonts w:ascii="Poppins Medium" w:hAnsi="Poppins Medium" w:cs="Poppins Medium"/>
          <w:color w:val="0F4761" w:themeColor="accent1" w:themeShade="BF"/>
          <w:sz w:val="24"/>
          <w:szCs w:val="28"/>
        </w:rPr>
      </w:pPr>
    </w:p>
    <w:p w14:paraId="7878CFCF"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3A60665B"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7DEF42D1"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50F4FF45"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192F70DB"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1A527447"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01C2A1E3"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1B0C7E38"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0F36635F"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6BE0EB51"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43B5B610"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69661A88"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44A19584" w14:textId="77777777" w:rsidR="00CB3B30" w:rsidRDefault="00CB3B30" w:rsidP="009E754B">
      <w:pPr>
        <w:spacing w:after="0" w:line="240" w:lineRule="auto"/>
        <w:rPr>
          <w:rFonts w:ascii="Poppins Medium" w:hAnsi="Poppins Medium" w:cs="Poppins Medium"/>
          <w:color w:val="0F4761" w:themeColor="accent1" w:themeShade="BF"/>
          <w:sz w:val="24"/>
          <w:szCs w:val="28"/>
        </w:rPr>
      </w:pPr>
    </w:p>
    <w:p w14:paraId="5F9871BB" w14:textId="77777777" w:rsidR="00CB3B30" w:rsidRPr="00725E41" w:rsidRDefault="00CB3B30" w:rsidP="009E754B">
      <w:pPr>
        <w:spacing w:after="0" w:line="240" w:lineRule="auto"/>
        <w:rPr>
          <w:rFonts w:eastAsia="Calibri" w:cs="Poppins"/>
          <w:szCs w:val="20"/>
        </w:rPr>
      </w:pPr>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6F55C455">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31"/>
      <w:footerReference w:type="default" r:id="rId32"/>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F9545" w14:textId="77777777" w:rsidR="003D5590" w:rsidRDefault="003D5590">
      <w:pPr>
        <w:spacing w:after="0" w:line="240" w:lineRule="auto"/>
      </w:pPr>
      <w:r>
        <w:separator/>
      </w:r>
    </w:p>
  </w:endnote>
  <w:endnote w:type="continuationSeparator" w:id="0">
    <w:p w14:paraId="2B2450C7" w14:textId="77777777" w:rsidR="003D5590" w:rsidRDefault="003D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15CD9" w14:textId="77777777" w:rsidR="003D5590" w:rsidRDefault="003D5590">
      <w:pPr>
        <w:spacing w:after="0" w:line="240" w:lineRule="auto"/>
      </w:pPr>
      <w:r>
        <w:separator/>
      </w:r>
    </w:p>
  </w:footnote>
  <w:footnote w:type="continuationSeparator" w:id="0">
    <w:p w14:paraId="5BDF2187" w14:textId="77777777" w:rsidR="003D5590" w:rsidRDefault="003D5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3"/>
  </w:num>
  <w:num w:numId="2" w16cid:durableId="127743416">
    <w:abstractNumId w:val="20"/>
  </w:num>
  <w:num w:numId="3" w16cid:durableId="1916818253">
    <w:abstractNumId w:val="21"/>
  </w:num>
  <w:num w:numId="4" w16cid:durableId="1562860064">
    <w:abstractNumId w:val="12"/>
  </w:num>
  <w:num w:numId="5" w16cid:durableId="747187781">
    <w:abstractNumId w:val="17"/>
  </w:num>
  <w:num w:numId="6" w16cid:durableId="360473614">
    <w:abstractNumId w:val="9"/>
  </w:num>
  <w:num w:numId="7" w16cid:durableId="2074813228">
    <w:abstractNumId w:val="18"/>
  </w:num>
  <w:num w:numId="8" w16cid:durableId="612904506">
    <w:abstractNumId w:val="4"/>
  </w:num>
  <w:num w:numId="9" w16cid:durableId="941183654">
    <w:abstractNumId w:val="19"/>
  </w:num>
  <w:num w:numId="10" w16cid:durableId="916745150">
    <w:abstractNumId w:val="10"/>
  </w:num>
  <w:num w:numId="11" w16cid:durableId="1211113321">
    <w:abstractNumId w:val="11"/>
  </w:num>
  <w:num w:numId="12" w16cid:durableId="444888970">
    <w:abstractNumId w:val="14"/>
  </w:num>
  <w:num w:numId="13" w16cid:durableId="1860123175">
    <w:abstractNumId w:val="6"/>
  </w:num>
  <w:num w:numId="14" w16cid:durableId="31660070">
    <w:abstractNumId w:val="8"/>
  </w:num>
  <w:num w:numId="15" w16cid:durableId="1157381680">
    <w:abstractNumId w:val="22"/>
  </w:num>
  <w:num w:numId="16" w16cid:durableId="2024474500">
    <w:abstractNumId w:val="1"/>
  </w:num>
  <w:num w:numId="17" w16cid:durableId="158468993">
    <w:abstractNumId w:val="13"/>
  </w:num>
  <w:num w:numId="18" w16cid:durableId="51200545">
    <w:abstractNumId w:val="0"/>
  </w:num>
  <w:num w:numId="19" w16cid:durableId="821049104">
    <w:abstractNumId w:val="2"/>
  </w:num>
  <w:num w:numId="20" w16cid:durableId="1487672424">
    <w:abstractNumId w:val="7"/>
  </w:num>
  <w:num w:numId="21" w16cid:durableId="1602059276">
    <w:abstractNumId w:val="3"/>
  </w:num>
  <w:num w:numId="22" w16cid:durableId="47806563">
    <w:abstractNumId w:val="5"/>
  </w:num>
  <w:num w:numId="23" w16cid:durableId="305356633">
    <w:abstractNumId w:val="16"/>
  </w:num>
  <w:num w:numId="24" w16cid:durableId="6786280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302F7"/>
    <w:rsid w:val="00036379"/>
    <w:rsid w:val="0005263B"/>
    <w:rsid w:val="000C35CD"/>
    <w:rsid w:val="0012379B"/>
    <w:rsid w:val="00126FE3"/>
    <w:rsid w:val="001D4903"/>
    <w:rsid w:val="00226ACA"/>
    <w:rsid w:val="00273583"/>
    <w:rsid w:val="0027672E"/>
    <w:rsid w:val="00286B7D"/>
    <w:rsid w:val="00295944"/>
    <w:rsid w:val="002A1017"/>
    <w:rsid w:val="00310E21"/>
    <w:rsid w:val="00330820"/>
    <w:rsid w:val="00390A90"/>
    <w:rsid w:val="003D5590"/>
    <w:rsid w:val="0047795D"/>
    <w:rsid w:val="004B29FC"/>
    <w:rsid w:val="004F260C"/>
    <w:rsid w:val="00540E02"/>
    <w:rsid w:val="00612F79"/>
    <w:rsid w:val="006258FD"/>
    <w:rsid w:val="00657D1D"/>
    <w:rsid w:val="006622DA"/>
    <w:rsid w:val="006B6E77"/>
    <w:rsid w:val="0072131F"/>
    <w:rsid w:val="00733CC7"/>
    <w:rsid w:val="00736378"/>
    <w:rsid w:val="0075315A"/>
    <w:rsid w:val="00754D4E"/>
    <w:rsid w:val="00791F13"/>
    <w:rsid w:val="007C09BF"/>
    <w:rsid w:val="007E4E3A"/>
    <w:rsid w:val="00814EEF"/>
    <w:rsid w:val="008A1F3D"/>
    <w:rsid w:val="008C4D88"/>
    <w:rsid w:val="008C52D4"/>
    <w:rsid w:val="009D4885"/>
    <w:rsid w:val="009E754B"/>
    <w:rsid w:val="00A106A5"/>
    <w:rsid w:val="00A66668"/>
    <w:rsid w:val="00A73302"/>
    <w:rsid w:val="00AA24EE"/>
    <w:rsid w:val="00AC375B"/>
    <w:rsid w:val="00B17242"/>
    <w:rsid w:val="00B33654"/>
    <w:rsid w:val="00B712E4"/>
    <w:rsid w:val="00BD3602"/>
    <w:rsid w:val="00BE2FE6"/>
    <w:rsid w:val="00C24621"/>
    <w:rsid w:val="00C37508"/>
    <w:rsid w:val="00C6549F"/>
    <w:rsid w:val="00C65C71"/>
    <w:rsid w:val="00CB3B30"/>
    <w:rsid w:val="00CD4912"/>
    <w:rsid w:val="00CF61A3"/>
    <w:rsid w:val="00DA483A"/>
    <w:rsid w:val="00E007ED"/>
    <w:rsid w:val="00E76838"/>
    <w:rsid w:val="00E83686"/>
    <w:rsid w:val="00EC72B9"/>
    <w:rsid w:val="00F54C3A"/>
    <w:rsid w:val="00F566BA"/>
    <w:rsid w:val="00F56D65"/>
    <w:rsid w:val="00F6455D"/>
    <w:rsid w:val="00F87569"/>
    <w:rsid w:val="00FC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dicaid.gov/federal-policy-guidance/index.html?search_api_fulltext=Medicaid+and+CHIP+Managed+Care+Monitoring+and+Oversight+Tools+&amp;field_fpg_date%5Bmin%5D=&amp;field_fpg_date%5Bmax%5D=&amp;sort_by=field_fpg_date&amp;sort_order=DESC&amp;items_per_page=10" TargetMode="External"/><Relationship Id="rId18" Type="http://schemas.openxmlformats.org/officeDocument/2006/relationships/hyperlink" Target="https://www.samhsa.gov/newsroom/press-announcements/20240614/biden-harris-administration-announces-funding-opportunities-priority-behavioral-health-needs" TargetMode="External"/><Relationship Id="rId26" Type="http://schemas.openxmlformats.org/officeDocument/2006/relationships/hyperlink" Target="https://www.consumerfinance.gov/about-us/newsroom/cfpb-finds-15-million-americans-have-medical-bills-on-their-credit-reports/" TargetMode="External"/><Relationship Id="rId3" Type="http://schemas.openxmlformats.org/officeDocument/2006/relationships/settings" Target="settings.xml"/><Relationship Id="rId21" Type="http://schemas.openxmlformats.org/officeDocument/2006/relationships/hyperlink" Target="https://www.grants.gov/search-results-detail/352060"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medicaid.gov/federal-policy-guidance/downloads/cib06122024.pdf" TargetMode="External"/><Relationship Id="rId17" Type="http://schemas.openxmlformats.org/officeDocument/2006/relationships/hyperlink" Target="https://www.macpac.gov/publication/june-2024-report-to-congress-on-medicaid-and-chip/" TargetMode="External"/><Relationship Id="rId25" Type="http://schemas.openxmlformats.org/officeDocument/2006/relationships/hyperlink" Target="https://files.consumerfinance.gov/f/documents/cfpb_med-debt-nprm-coverpage-and-redline-of-rule_2024-06.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ederalregister.gov/documents/2024/05/08/2024-10051/peripheral-and-central-nervous-system-drugs-advisory-committee-notice-of-meeting-establishment-of-a" TargetMode="External"/><Relationship Id="rId20" Type="http://schemas.openxmlformats.org/officeDocument/2006/relationships/hyperlink" Target="https://www.grants.gov/search-results-detail/352145"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premecourt.gov/opinions/23pdf/23-235_n7ip.pdf" TargetMode="External"/><Relationship Id="rId24" Type="http://schemas.openxmlformats.org/officeDocument/2006/relationships/hyperlink" Target="https://www.grants.gov/search-results-detail/352063"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nsidehealthpolicy.com/sites/insidehealthpolicy.com/files/documents/2024/apr/he2024_1043.pdf" TargetMode="External"/><Relationship Id="rId23" Type="http://schemas.openxmlformats.org/officeDocument/2006/relationships/hyperlink" Target="https://www.grants.gov/search-results-detail/352064" TargetMode="External"/><Relationship Id="rId28" Type="http://schemas.openxmlformats.org/officeDocument/2006/relationships/hyperlink" Target="https://www.help.senate.gov/hearings/the-immediate-and-long-term-challenges-facing-public-school-teachers-low-pay-teacher-shortages-and-underfunded-public-schools" TargetMode="External"/><Relationship Id="rId10" Type="http://schemas.openxmlformats.org/officeDocument/2006/relationships/hyperlink" Target="https://aspe.hhs.gov/reports/2nd-cw-t-msis-brief" TargetMode="External"/><Relationship Id="rId19" Type="http://schemas.openxmlformats.org/officeDocument/2006/relationships/hyperlink" Target="https://www.whitehouse.gov/briefing-room/statements-releases/2024/03/08/fact-sheet-president-bidens-unity-agenda-for-the-natio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bertyjusticecenter.org/wp-content/uploads/pitta-file-brief.pdf" TargetMode="External"/><Relationship Id="rId14" Type="http://schemas.openxmlformats.org/officeDocument/2006/relationships/hyperlink" Target="https://insidehealthpolicy.com/sites/insidehealthpolicy.com/files/documents/2024/jun/he2024_1628.pdf" TargetMode="External"/><Relationship Id="rId22" Type="http://schemas.openxmlformats.org/officeDocument/2006/relationships/hyperlink" Target="https://www.grants.gov/search-results-detail/349705" TargetMode="External"/><Relationship Id="rId27" Type="http://schemas.openxmlformats.org/officeDocument/2006/relationships/hyperlink" Target="https://www.hsgac.senate.gov/hearings/origins-of-covid-19-an-examination-of-available-evidence/" TargetMode="External"/><Relationship Id="rId30" Type="http://schemas.openxmlformats.org/officeDocument/2006/relationships/image" Target="media/image3.png"/><Relationship Id="rId8" Type="http://schemas.openxmlformats.org/officeDocument/2006/relationships/hyperlink" Target="https://www.finance.senate.gov/imo/media/doc/rtf_report_warehouses_of_negle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2024-06-18T16:24:00Z</dcterms:created>
  <dcterms:modified xsi:type="dcterms:W3CDTF">2024-06-18T16:24:00Z</dcterms:modified>
</cp:coreProperties>
</file>