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1F3681" w14:textId="77777777" w:rsidR="004C12B1" w:rsidRDefault="004C12B1"/>
    <w:p w14:paraId="6F87B41E" w14:textId="77777777" w:rsidR="004C12B1" w:rsidRDefault="004C12B1" w:rsidP="004C12B1"/>
    <w:p w14:paraId="174E8744" w14:textId="77777777" w:rsidR="004C12B1" w:rsidRDefault="004C12B1" w:rsidP="004C12B1"/>
    <w:p w14:paraId="594195DA" w14:textId="77777777" w:rsidR="004C12B1" w:rsidRDefault="004C12B1" w:rsidP="004C12B1"/>
    <w:p w14:paraId="6B3E261D" w14:textId="77777777" w:rsidR="004C12B1" w:rsidRDefault="004C12B1" w:rsidP="004C12B1"/>
    <w:p w14:paraId="2084B95E" w14:textId="441EC37B" w:rsidR="004C12B1" w:rsidRPr="004C12B1" w:rsidRDefault="004C12B1" w:rsidP="004C12B1">
      <w:r w:rsidRPr="004C12B1">
        <w:drawing>
          <wp:anchor distT="0" distB="0" distL="114300" distR="114300" simplePos="0" relativeHeight="251660288" behindDoc="0" locked="0" layoutInCell="1" allowOverlap="1" wp14:anchorId="2104AD9F" wp14:editId="21DEEBFA">
            <wp:simplePos x="0" y="0"/>
            <wp:positionH relativeFrom="margin">
              <wp:posOffset>-958850</wp:posOffset>
            </wp:positionH>
            <wp:positionV relativeFrom="margin">
              <wp:posOffset>-899795</wp:posOffset>
            </wp:positionV>
            <wp:extent cx="5943600" cy="2096135"/>
            <wp:effectExtent l="0" t="0" r="0" b="0"/>
            <wp:wrapSquare wrapText="bothSides"/>
            <wp:docPr id="1205324807" name="Picture 13"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324807" name="Picture 13" descr="A white building with a dom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t="2975" b="2975"/>
                    <a:stretch>
                      <a:fillRect/>
                    </a:stretch>
                  </pic:blipFill>
                  <pic:spPr bwMode="auto">
                    <a:xfrm>
                      <a:off x="0" y="0"/>
                      <a:ext cx="5943600" cy="2096135"/>
                    </a:xfrm>
                    <a:prstGeom prst="rect">
                      <a:avLst/>
                    </a:prstGeom>
                    <a:noFill/>
                  </pic:spPr>
                </pic:pic>
              </a:graphicData>
            </a:graphic>
            <wp14:sizeRelH relativeFrom="page">
              <wp14:pctWidth>0</wp14:pctWidth>
            </wp14:sizeRelH>
            <wp14:sizeRelV relativeFrom="margin">
              <wp14:pctHeight>0</wp14:pctHeight>
            </wp14:sizeRelV>
          </wp:anchor>
        </w:drawing>
      </w:r>
      <w:r w:rsidRPr="004C12B1">
        <w:t>April 22, 2024</w:t>
      </w:r>
    </w:p>
    <w:p w14:paraId="1EC80D3D" w14:textId="77777777" w:rsidR="004C12B1" w:rsidRPr="004C12B1" w:rsidRDefault="004C12B1" w:rsidP="004C12B1">
      <w:pPr>
        <w:numPr>
          <w:ilvl w:val="0"/>
          <w:numId w:val="1"/>
        </w:numPr>
      </w:pPr>
      <w:r w:rsidRPr="004C12B1">
        <w:t>Social Security Finalizes Change to SSI Benefits</w:t>
      </w:r>
    </w:p>
    <w:p w14:paraId="7BB09893" w14:textId="77777777" w:rsidR="004C12B1" w:rsidRPr="004C12B1" w:rsidRDefault="004C12B1" w:rsidP="004C12B1">
      <w:r w:rsidRPr="004C12B1">
        <w:t xml:space="preserve">Starting September 30, 2024, the Social Security Administration will </w:t>
      </w:r>
      <w:hyperlink r:id="rId6" w:history="1">
        <w:r w:rsidRPr="004C12B1">
          <w:rPr>
            <w:rStyle w:val="Hyperlink"/>
          </w:rPr>
          <w:t>update</w:t>
        </w:r>
      </w:hyperlink>
      <w:r w:rsidRPr="004C12B1">
        <w:t xml:space="preserve"> their Supplemental Security Income (SSI) regulations to remove food from the calculations of In-Kind Support and Maintenance (ISM). In addition, they are updating their regulations with clarifying language to consider food and shelter received “from others living in the household,” not just from the person in whose household the applicant or recipient is living for the Value of the One-Third Reduction (VTR) rule to apply. Current rules allow for SSI benefits to be reduced, in many cases by about a third, if someone else routinely provides meals or groceries to a beneficiary. According to the Social Security Administration, these changes will simplify regulations, which will make them less cumbersome to administer and easier for the public to understand and follow. </w:t>
      </w:r>
    </w:p>
    <w:p w14:paraId="40DA412E" w14:textId="77777777" w:rsidR="004C12B1" w:rsidRPr="004C12B1" w:rsidRDefault="004C12B1" w:rsidP="004C12B1"/>
    <w:p w14:paraId="10034C45" w14:textId="77777777" w:rsidR="004C12B1" w:rsidRPr="004C12B1" w:rsidRDefault="004C12B1" w:rsidP="004C12B1">
      <w:pPr>
        <w:numPr>
          <w:ilvl w:val="0"/>
          <w:numId w:val="1"/>
        </w:numPr>
      </w:pPr>
      <w:r w:rsidRPr="004C12B1">
        <w:t>Representatives Author Letter Urging the DOL to Ensure Parity in Long-Term Disability Benefits</w:t>
      </w:r>
    </w:p>
    <w:p w14:paraId="69919C46" w14:textId="77777777" w:rsidR="004C12B1" w:rsidRPr="004C12B1" w:rsidRDefault="004C12B1" w:rsidP="004C12B1">
      <w:r w:rsidRPr="004C12B1">
        <w:t xml:space="preserve">Representatives Bobby Scott (D-VA), Ranking Member of the Committee on Education and the Workforce and Mark </w:t>
      </w:r>
      <w:proofErr w:type="spellStart"/>
      <w:r w:rsidRPr="004C12B1">
        <w:t>Desaulnier</w:t>
      </w:r>
      <w:proofErr w:type="spellEnd"/>
      <w:r w:rsidRPr="004C12B1">
        <w:t xml:space="preserve"> (D-CA), Ranking Member of the Subcommittee on Health, Employment, Labor, and Pensions </w:t>
      </w:r>
      <w:hyperlink r:id="rId7" w:history="1">
        <w:r w:rsidRPr="004C12B1">
          <w:rPr>
            <w:rStyle w:val="Hyperlink"/>
          </w:rPr>
          <w:t>co-authored</w:t>
        </w:r>
      </w:hyperlink>
      <w:r w:rsidRPr="004C12B1">
        <w:t xml:space="preserve"> a letter to the Department of Labor (the Department) Acting Secretary, Julie Su, and Assistant Secretary of the Employee Benefits Security Administration (EBSA), Lisa Gomez. The letter aims to bring attention to the December 2023 report from the Advisory Council on Employee Welfare and Pension Benefit Plans (ERISA Advisory Council) regarding Long-Term Disability Benefits and Mental Health Disparity. The report highlights the barriers imposed upon workers experiencing mental health and substance use disorder conditions. The letter notes that </w:t>
      </w:r>
      <w:proofErr w:type="gramStart"/>
      <w:r w:rsidRPr="004C12B1">
        <w:t>the majority of</w:t>
      </w:r>
      <w:proofErr w:type="gramEnd"/>
      <w:r w:rsidRPr="004C12B1">
        <w:t xml:space="preserve"> long-term disability (LTD) plans treat disability arising from behavioral health conditions differently than disability arising from physical health conditions. Approximately 99 percent of all LTD plans offer a shorter coverage period, often just 24 months, for mental health and substance use disorder conditions. Moreover, the letter characterizes the treatment of behavioral health conditions in LTD plans as discriminatory, citing inconsistencies with the Mental Health Parity and Addiction Equity Act (MHPAEA). The Representatives encouraged the Department to </w:t>
      </w:r>
      <w:proofErr w:type="gramStart"/>
      <w:r w:rsidRPr="004C12B1">
        <w:t>give full consideration to</w:t>
      </w:r>
      <w:proofErr w:type="gramEnd"/>
      <w:r w:rsidRPr="004C12B1">
        <w:t xml:space="preserve"> the ERISA Advisory Council’s report and the recommendations within it to bring equitable coverage to LTD benefits.  </w:t>
      </w:r>
    </w:p>
    <w:p w14:paraId="122525E4" w14:textId="77777777" w:rsidR="004C12B1" w:rsidRPr="004C12B1" w:rsidRDefault="004C12B1" w:rsidP="004C12B1"/>
    <w:p w14:paraId="362B43FE" w14:textId="77777777" w:rsidR="004C12B1" w:rsidRPr="004C12B1" w:rsidRDefault="004C12B1" w:rsidP="004C12B1">
      <w:pPr>
        <w:numPr>
          <w:ilvl w:val="0"/>
          <w:numId w:val="1"/>
        </w:numPr>
      </w:pPr>
      <w:r w:rsidRPr="004C12B1">
        <w:t>Democratic Senators Introduce the Long-Term Care Workforce Support Act</w:t>
      </w:r>
    </w:p>
    <w:p w14:paraId="34DC2889" w14:textId="77777777" w:rsidR="004C12B1" w:rsidRPr="004C12B1" w:rsidRDefault="004C12B1" w:rsidP="004C12B1">
      <w:r w:rsidRPr="004C12B1">
        <w:lastRenderedPageBreak/>
        <w:t xml:space="preserve">Senator Bob Casey (D-PA), Chairman of the Senate Special Committee on Aging, as well as Senators Tim Kaine (D-VA), and Tammy Baldwin (D-WI) recently </w:t>
      </w:r>
      <w:hyperlink r:id="rId8" w:history="1">
        <w:r w:rsidRPr="004C12B1">
          <w:rPr>
            <w:rStyle w:val="Hyperlink"/>
          </w:rPr>
          <w:t>introduced</w:t>
        </w:r>
      </w:hyperlink>
      <w:r w:rsidRPr="004C12B1">
        <w:t xml:space="preserve"> the </w:t>
      </w:r>
      <w:hyperlink r:id="rId9" w:history="1">
        <w:r w:rsidRPr="004C12B1">
          <w:rPr>
            <w:rStyle w:val="Hyperlink"/>
          </w:rPr>
          <w:t>Long-Term Care Workforce Support Act</w:t>
        </w:r>
      </w:hyperlink>
      <w:r w:rsidRPr="004C12B1">
        <w:t xml:space="preserve"> to mitigate the caregiving crisis by supporting long-term caregivers and their efforts to help families nationwide. In the U.S. House of Representatives, Congresswoman Debbie Dingell (D-MI-6) </w:t>
      </w:r>
      <w:hyperlink r:id="rId10" w:anchor=":~:text=The%20Long%2DTerm%20Care%20Workforce,care%20to%20assisted%20living%20facilities." w:history="1">
        <w:r w:rsidRPr="004C12B1">
          <w:rPr>
            <w:rStyle w:val="Hyperlink"/>
          </w:rPr>
          <w:t>introduced</w:t>
        </w:r>
      </w:hyperlink>
      <w:r w:rsidRPr="004C12B1">
        <w:t xml:space="preserve"> a companion bill. Many caregivers provide long hours of support for aging loved ones or individuals with disabilities for low or no pay. Caregivers earn a median wage of $15.43 an hour and a majority are living in poverty. There exists a widespread worker shortage for individuals needing essential long-term care. This legislation aims to establish caregiving as a lifelong profession by allocating significant new funds to support workers across all sectors of the long-term care industry, including nursing homes, home care, and assisted living facilities. The bill improves caregiver compensation to benefit workers who care for older adults and individuals with disabilities.</w:t>
      </w:r>
    </w:p>
    <w:p w14:paraId="7D0BF19F" w14:textId="77777777" w:rsidR="004C12B1" w:rsidRPr="004C12B1" w:rsidRDefault="004C12B1" w:rsidP="004C12B1"/>
    <w:p w14:paraId="4E416981" w14:textId="77777777" w:rsidR="004C12B1" w:rsidRPr="004C12B1" w:rsidRDefault="004C12B1" w:rsidP="004C12B1">
      <w:r w:rsidRPr="004C12B1">
        <w:t xml:space="preserve">The </w:t>
      </w:r>
      <w:proofErr w:type="gramStart"/>
      <w:r w:rsidRPr="004C12B1">
        <w:t>Long Term</w:t>
      </w:r>
      <w:proofErr w:type="gramEnd"/>
      <w:r w:rsidRPr="004C12B1">
        <w:t xml:space="preserve"> Care Workforce Support Act will:</w:t>
      </w:r>
    </w:p>
    <w:p w14:paraId="3E7966BC" w14:textId="77777777" w:rsidR="004C12B1" w:rsidRPr="004C12B1" w:rsidRDefault="004C12B1" w:rsidP="004C12B1">
      <w:pPr>
        <w:numPr>
          <w:ilvl w:val="1"/>
          <w:numId w:val="1"/>
        </w:numPr>
      </w:pPr>
      <w:r w:rsidRPr="004C12B1">
        <w:t>Expand the number of direct care professionals, especially in rural areas</w:t>
      </w:r>
    </w:p>
    <w:p w14:paraId="52671137" w14:textId="77777777" w:rsidR="004C12B1" w:rsidRPr="004C12B1" w:rsidRDefault="004C12B1" w:rsidP="004C12B1">
      <w:pPr>
        <w:numPr>
          <w:ilvl w:val="1"/>
          <w:numId w:val="1"/>
        </w:numPr>
      </w:pPr>
      <w:r w:rsidRPr="004C12B1">
        <w:t>Create pathways for women, people of color, and individuals with disabilities to enter the workforce</w:t>
      </w:r>
    </w:p>
    <w:p w14:paraId="570C396E" w14:textId="77777777" w:rsidR="004C12B1" w:rsidRPr="004C12B1" w:rsidRDefault="004C12B1" w:rsidP="004C12B1">
      <w:pPr>
        <w:numPr>
          <w:ilvl w:val="1"/>
          <w:numId w:val="1"/>
        </w:numPr>
      </w:pPr>
      <w:r w:rsidRPr="004C12B1">
        <w:t>Improve compensation for direct care professionals to reduce vacancies and turnover rates</w:t>
      </w:r>
    </w:p>
    <w:p w14:paraId="0B04119F" w14:textId="77777777" w:rsidR="004C12B1" w:rsidRPr="004C12B1" w:rsidRDefault="004C12B1" w:rsidP="004C12B1">
      <w:pPr>
        <w:numPr>
          <w:ilvl w:val="1"/>
          <w:numId w:val="1"/>
        </w:numPr>
      </w:pPr>
      <w:r w:rsidRPr="004C12B1">
        <w:t>Ensure respectful treatment of direct care workers and create a safe work environment and establish fair pay</w:t>
      </w:r>
    </w:p>
    <w:p w14:paraId="3624C060" w14:textId="77777777" w:rsidR="004C12B1" w:rsidRPr="004C12B1" w:rsidRDefault="004C12B1" w:rsidP="004C12B1">
      <w:pPr>
        <w:numPr>
          <w:ilvl w:val="1"/>
          <w:numId w:val="1"/>
        </w:numPr>
      </w:pPr>
      <w:r w:rsidRPr="004C12B1">
        <w:t xml:space="preserve">Enhance access to and quality of long-term care for families </w:t>
      </w:r>
    </w:p>
    <w:p w14:paraId="3AF504E2" w14:textId="77777777" w:rsidR="004C12B1" w:rsidRPr="004C12B1" w:rsidRDefault="004C12B1" w:rsidP="004C12B1">
      <w:pPr>
        <w:numPr>
          <w:ilvl w:val="1"/>
          <w:numId w:val="1"/>
        </w:numPr>
      </w:pPr>
      <w:r w:rsidRPr="004C12B1">
        <w:t>Understand the need for long-term care and identify recruitment and training strategies</w:t>
      </w:r>
    </w:p>
    <w:p w14:paraId="64C91C0E" w14:textId="77777777" w:rsidR="004C12B1" w:rsidRPr="004C12B1" w:rsidRDefault="004C12B1" w:rsidP="004C12B1">
      <w:pPr>
        <w:numPr>
          <w:ilvl w:val="1"/>
          <w:numId w:val="1"/>
        </w:numPr>
      </w:pPr>
      <w:r w:rsidRPr="004C12B1">
        <w:t xml:space="preserve">Support the 53,000,000 unpaid family caregivers </w:t>
      </w:r>
    </w:p>
    <w:p w14:paraId="124629A5" w14:textId="77777777" w:rsidR="004C12B1" w:rsidRPr="004C12B1" w:rsidRDefault="004C12B1" w:rsidP="004C12B1"/>
    <w:p w14:paraId="28B84947" w14:textId="77777777" w:rsidR="004C12B1" w:rsidRPr="004C12B1" w:rsidRDefault="004C12B1" w:rsidP="004C12B1">
      <w:pPr>
        <w:numPr>
          <w:ilvl w:val="0"/>
          <w:numId w:val="1"/>
        </w:numPr>
      </w:pPr>
      <w:r w:rsidRPr="004C12B1">
        <w:t>NASHP Releases Tracker on States’ Use of National Standards for CYSHCN</w:t>
      </w:r>
    </w:p>
    <w:p w14:paraId="40DFF452" w14:textId="77777777" w:rsidR="004C12B1" w:rsidRPr="004C12B1" w:rsidRDefault="004C12B1" w:rsidP="004C12B1">
      <w:r w:rsidRPr="004C12B1">
        <w:t xml:space="preserve">The National Academy for State Health Policy (NASHP) </w:t>
      </w:r>
      <w:hyperlink r:id="rId11" w:history="1">
        <w:r w:rsidRPr="004C12B1">
          <w:rPr>
            <w:rStyle w:val="Hyperlink"/>
          </w:rPr>
          <w:t>released</w:t>
        </w:r>
      </w:hyperlink>
      <w:r w:rsidRPr="004C12B1">
        <w:t xml:space="preserve"> a state tracker that showcased how states leverage and implement two key sets of national standards to improve systems of care and health outcomes for children and youth with special health care needs (CYSHCN). These standards include the National Standards for Systems of Care for CYSHCN (NSSC), which define the core components of a comprehensive, coordinated, and family-centered system of care for CYSHCN, and the National Care Coordination Standards for CYSHCN (NCCS), which outcome system-level components of high-quality care coordination for CYSHCN. The tracker illustrates the ways states are leveraging these standards in their Medicaid and state Title V Maternal and Child Health (MCH) Services Block Grant programs, which include guiding collaborating with families, providers, and other system partners, and information needs assessments, strategic planning, managed care contracts, and other state efforts.    </w:t>
      </w:r>
    </w:p>
    <w:p w14:paraId="6AACCB39" w14:textId="77777777" w:rsidR="004C12B1" w:rsidRPr="004C12B1" w:rsidRDefault="004C12B1" w:rsidP="004C12B1">
      <w:r w:rsidRPr="004C12B1">
        <w:lastRenderedPageBreak/>
        <w:t>What’s on Tap</w:t>
      </w:r>
    </w:p>
    <w:p w14:paraId="01FD36F5" w14:textId="77777777" w:rsidR="004C12B1" w:rsidRPr="004C12B1" w:rsidRDefault="004C12B1" w:rsidP="004C12B1">
      <w:pPr>
        <w:numPr>
          <w:ilvl w:val="0"/>
          <w:numId w:val="1"/>
        </w:numPr>
      </w:pPr>
      <w:r w:rsidRPr="004C12B1">
        <w:t xml:space="preserve">The House is out of session and the Senate will recess early this week. </w:t>
      </w:r>
    </w:p>
    <w:p w14:paraId="6A320209" w14:textId="77777777" w:rsidR="004C12B1" w:rsidRPr="004C12B1" w:rsidRDefault="004C12B1" w:rsidP="004C12B1"/>
    <w:p w14:paraId="1B84F37B" w14:textId="77777777" w:rsidR="004C12B1" w:rsidRPr="004C12B1" w:rsidRDefault="004C12B1" w:rsidP="004C12B1">
      <w:pPr>
        <w:numPr>
          <w:ilvl w:val="0"/>
          <w:numId w:val="1"/>
        </w:numPr>
      </w:pPr>
      <w:r w:rsidRPr="004C12B1">
        <w:t xml:space="preserve">It is noteworthy that last week, FDA Commissioner Robert Califf </w:t>
      </w:r>
      <w:hyperlink r:id="rId12" w:history="1">
        <w:r w:rsidRPr="004C12B1">
          <w:rPr>
            <w:rStyle w:val="Hyperlink"/>
          </w:rPr>
          <w:t>requested</w:t>
        </w:r>
      </w:hyperlink>
      <w:r w:rsidRPr="004C12B1">
        <w:t xml:space="preserve"> $157 million in additional budget authority for the agency during a House appropriations subcommittee hearing for fiscal year 2025 funding. During the hearing, lawmakers questioned the FDA leader about various topics related to tobacco regulations, foreign inspections, and food policies.</w:t>
      </w:r>
    </w:p>
    <w:p w14:paraId="567D88DA" w14:textId="77777777" w:rsidR="004C12B1" w:rsidRPr="004C12B1" w:rsidRDefault="004C12B1" w:rsidP="004C12B1"/>
    <w:p w14:paraId="28F804DD" w14:textId="77777777" w:rsidR="004C12B1" w:rsidRPr="004C12B1" w:rsidRDefault="004C12B1" w:rsidP="004C12B1">
      <w:pPr>
        <w:numPr>
          <w:ilvl w:val="0"/>
          <w:numId w:val="1"/>
        </w:numPr>
      </w:pPr>
      <w:r w:rsidRPr="004C12B1">
        <w:t xml:space="preserve">Rep. Tom Cole (R-OK) is the </w:t>
      </w:r>
      <w:hyperlink r:id="rId13" w:history="1">
        <w:r w:rsidRPr="004C12B1">
          <w:rPr>
            <w:rStyle w:val="Hyperlink"/>
          </w:rPr>
          <w:t>new</w:t>
        </w:r>
      </w:hyperlink>
      <w:r w:rsidRPr="004C12B1">
        <w:t xml:space="preserve"> House Appropriations Committee chair after Rep. Kay Granger (R-Texas) stepped down from the position last week. Lawmakers completed the process for the last round of appropriations approximately six months late. Rep. Cole has stated that there is not yet a top-line spending number for this year’s appropriations. It is noteworthy that government funding for this fiscal year will run out in September. Lawmakers will likely resort to a temporary funding patch and push a spending deal until after elections in November. Senate Republican Whip John Thune (R-SD) </w:t>
      </w:r>
      <w:hyperlink r:id="rId14" w:history="1">
        <w:r w:rsidRPr="004C12B1">
          <w:rPr>
            <w:rStyle w:val="Hyperlink"/>
          </w:rPr>
          <w:t>stated</w:t>
        </w:r>
      </w:hyperlink>
      <w:r w:rsidRPr="004C12B1">
        <w:t xml:space="preserve"> that hospitals could anticipate the inclusion of various health care policies in a legislative bundle during the post-election lame duck session. This package could include measures related to physician payments, reforming pharmacy benefit managers, and extending telehealth flexibilities.</w:t>
      </w:r>
    </w:p>
    <w:p w14:paraId="4DDF5AD1" w14:textId="77777777" w:rsidR="004C12B1" w:rsidRPr="004C12B1" w:rsidRDefault="004C12B1" w:rsidP="004C12B1"/>
    <w:p w14:paraId="0CABD72D" w14:textId="77777777" w:rsidR="004C12B1" w:rsidRPr="004C12B1" w:rsidRDefault="004C12B1" w:rsidP="004C12B1">
      <w:pPr>
        <w:numPr>
          <w:ilvl w:val="0"/>
          <w:numId w:val="1"/>
        </w:numPr>
      </w:pPr>
      <w:r w:rsidRPr="004C12B1">
        <w:t xml:space="preserve">This week, the Supreme Court will </w:t>
      </w:r>
      <w:hyperlink r:id="rId15" w:history="1">
        <w:r w:rsidRPr="004C12B1">
          <w:rPr>
            <w:rStyle w:val="Hyperlink"/>
          </w:rPr>
          <w:t>listen</w:t>
        </w:r>
      </w:hyperlink>
      <w:r w:rsidRPr="004C12B1">
        <w:t xml:space="preserve"> to arguments regarding a disagreement on whether states have the authority to refuse to comply with the Emergency Medical Treatment and Labor Act (EMTALA). EMTALA, a federal law, mandates the provision of stabilizing care to all emergency room patients, including abortion services, regardless of any conflicting regulations at the state level. </w:t>
      </w:r>
    </w:p>
    <w:p w14:paraId="376A8542" w14:textId="77777777" w:rsidR="004C12B1" w:rsidRPr="004C12B1" w:rsidRDefault="004C12B1" w:rsidP="004C12B1">
      <w:r w:rsidRPr="004C12B1">
        <w:t>Upcoming Event</w:t>
      </w:r>
    </w:p>
    <w:p w14:paraId="0C86F964" w14:textId="77777777" w:rsidR="004C12B1" w:rsidRPr="004C12B1" w:rsidRDefault="004C12B1" w:rsidP="004C12B1">
      <w:r w:rsidRPr="004C12B1">
        <w:t>Thursday</w:t>
      </w:r>
    </w:p>
    <w:p w14:paraId="311A1E96" w14:textId="77777777" w:rsidR="004C12B1" w:rsidRPr="004C12B1" w:rsidRDefault="004C12B1" w:rsidP="004C12B1">
      <w:pPr>
        <w:numPr>
          <w:ilvl w:val="0"/>
          <w:numId w:val="2"/>
        </w:numPr>
      </w:pPr>
      <w:r w:rsidRPr="004C12B1">
        <w:t xml:space="preserve">The Bipartisan Policy Center will hold a virtual </w:t>
      </w:r>
      <w:hyperlink r:id="rId16" w:history="1">
        <w:r w:rsidRPr="004C12B1">
          <w:rPr>
            <w:rStyle w:val="Hyperlink"/>
          </w:rPr>
          <w:t>discussion</w:t>
        </w:r>
      </w:hyperlink>
      <w:r w:rsidRPr="004C12B1">
        <w:t xml:space="preserve"> on "Optimizing Medicare-Medicaid Integration for Dually Eligible Beneficiaries” at 12:30 PM EST. </w:t>
      </w:r>
    </w:p>
    <w:p w14:paraId="52142F3E" w14:textId="77777777" w:rsidR="004C12B1" w:rsidRPr="004C12B1" w:rsidRDefault="004C12B1" w:rsidP="004C12B1">
      <w:pPr>
        <w:numPr>
          <w:ilvl w:val="0"/>
          <w:numId w:val="2"/>
        </w:numPr>
      </w:pPr>
      <w:r w:rsidRPr="004C12B1">
        <w:t xml:space="preserve">The American Association of People with Disabilities will hold its 2024 National Community </w:t>
      </w:r>
      <w:hyperlink r:id="rId17" w:history="1">
        <w:r w:rsidRPr="004C12B1">
          <w:rPr>
            <w:rStyle w:val="Hyperlink"/>
          </w:rPr>
          <w:t>event</w:t>
        </w:r>
      </w:hyperlink>
      <w:r w:rsidRPr="004C12B1">
        <w:t xml:space="preserve"> “to celebrate the progress of disability rights and support for access, equity, and inclusion” at 6:30 PM EST. </w:t>
      </w:r>
    </w:p>
    <w:p w14:paraId="6B6533B0" w14:textId="77777777" w:rsidR="004C12B1" w:rsidRPr="004C12B1" w:rsidRDefault="004C12B1" w:rsidP="004C12B1"/>
    <w:p w14:paraId="247CE2CC" w14:textId="77777777" w:rsidR="004C12B1" w:rsidRPr="004C12B1" w:rsidRDefault="004C12B1" w:rsidP="004C12B1"/>
    <w:p w14:paraId="66156953" w14:textId="77777777" w:rsidR="004C12B1" w:rsidRPr="004C12B1" w:rsidRDefault="004C12B1" w:rsidP="004C12B1"/>
    <w:p w14:paraId="5E767E5A" w14:textId="77777777" w:rsidR="004C12B1" w:rsidRPr="004C12B1" w:rsidRDefault="004C12B1" w:rsidP="004C12B1"/>
    <w:p w14:paraId="02DA1D70" w14:textId="749EB0C6" w:rsidR="004C12B1" w:rsidRPr="004C12B1" w:rsidRDefault="004C12B1" w:rsidP="004C12B1">
      <w:r w:rsidRPr="004C12B1">
        <w:lastRenderedPageBreak/>
        <w:drawing>
          <wp:inline distT="0" distB="0" distL="0" distR="0" wp14:anchorId="4B8567A8" wp14:editId="1451D181">
            <wp:extent cx="2276475" cy="561975"/>
            <wp:effectExtent l="0" t="0" r="9525" b="9525"/>
            <wp:docPr id="1748022354" name="Picture 1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ue and white logo&#10;&#10;Description automatically generated"/>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2276475" cy="561975"/>
                    </a:xfrm>
                    <a:prstGeom prst="rect">
                      <a:avLst/>
                    </a:prstGeom>
                    <a:noFill/>
                    <a:ln>
                      <a:noFill/>
                    </a:ln>
                  </pic:spPr>
                </pic:pic>
              </a:graphicData>
            </a:graphic>
          </wp:inline>
        </w:drawing>
      </w:r>
      <w:r w:rsidRPr="004C12B1">
        <w:t xml:space="preserve">                                                                           </w:t>
      </w:r>
      <w:r w:rsidRPr="004C12B1">
        <w:drawing>
          <wp:inline distT="0" distB="0" distL="0" distR="0" wp14:anchorId="57E66907" wp14:editId="5CB7DACD">
            <wp:extent cx="1362075" cy="561975"/>
            <wp:effectExtent l="0" t="0" r="9525" b="9525"/>
            <wp:docPr id="1325199234" name="Picture 1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ue and black logo&#10;&#10;Description automatically generated"/>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362075" cy="561975"/>
                    </a:xfrm>
                    <a:prstGeom prst="rect">
                      <a:avLst/>
                    </a:prstGeom>
                    <a:noFill/>
                    <a:ln>
                      <a:noFill/>
                    </a:ln>
                  </pic:spPr>
                </pic:pic>
              </a:graphicData>
            </a:graphic>
          </wp:inline>
        </w:drawing>
      </w:r>
      <w:r w:rsidRPr="004C12B1">
        <w:t xml:space="preserve">                                                                            </w:t>
      </w:r>
    </w:p>
    <w:p w14:paraId="04A803E5" w14:textId="77777777" w:rsidR="004C12B1" w:rsidRPr="004C12B1" w:rsidRDefault="004C12B1" w:rsidP="004C12B1"/>
    <w:p w14:paraId="3CAA1022" w14:textId="77777777" w:rsidR="004C12B1" w:rsidRPr="004C12B1" w:rsidRDefault="004C12B1" w:rsidP="004C12B1"/>
    <w:p w14:paraId="6339ABB3" w14:textId="77777777" w:rsidR="004C12B1" w:rsidRPr="004C12B1" w:rsidRDefault="004C12B1" w:rsidP="004C12B1">
      <w:r w:rsidRPr="004C12B1">
        <w:rPr>
          <w:b/>
          <w:bCs/>
        </w:rPr>
        <w:t>Brian W. Lindberg, SNA Public Policy Advisor</w:t>
      </w:r>
    </w:p>
    <w:p w14:paraId="367CEE42" w14:textId="77777777" w:rsidR="004C12B1" w:rsidRPr="004C12B1" w:rsidRDefault="004C12B1" w:rsidP="004C12B1">
      <w:r w:rsidRPr="004C12B1">
        <w:rPr>
          <w:i/>
          <w:iCs/>
        </w:rPr>
        <w:t>Vice President, Health and Aging Policy</w:t>
      </w:r>
    </w:p>
    <w:p w14:paraId="71CD39F5" w14:textId="77777777" w:rsidR="004C12B1" w:rsidRPr="004C12B1" w:rsidRDefault="004C12B1" w:rsidP="004C12B1">
      <w:r w:rsidRPr="004C12B1">
        <w:t>Healthsperien LLC</w:t>
      </w:r>
    </w:p>
    <w:p w14:paraId="69355FFE" w14:textId="77777777" w:rsidR="004C12B1" w:rsidRPr="004C12B1" w:rsidRDefault="004C12B1" w:rsidP="004C12B1">
      <w:hyperlink r:id="rId22" w:history="1">
        <w:r w:rsidRPr="004C12B1">
          <w:rPr>
            <w:rStyle w:val="Hyperlink"/>
          </w:rPr>
          <w:t>blindberg@healthsperien.com</w:t>
        </w:r>
      </w:hyperlink>
      <w:r w:rsidRPr="004C12B1">
        <w:t>  |  202-306-</w:t>
      </w:r>
      <w:proofErr w:type="gramStart"/>
      <w:r w:rsidRPr="004C12B1">
        <w:t>6128  |</w:t>
      </w:r>
      <w:proofErr w:type="gramEnd"/>
      <w:r w:rsidRPr="004C12B1">
        <w:t xml:space="preserve">   </w:t>
      </w:r>
      <w:hyperlink r:id="rId23" w:history="1">
        <w:r w:rsidRPr="004C12B1">
          <w:rPr>
            <w:rStyle w:val="Hyperlink"/>
          </w:rPr>
          <w:t>www.healthsperien.com</w:t>
        </w:r>
      </w:hyperlink>
    </w:p>
    <w:p w14:paraId="3FB07402" w14:textId="77777777" w:rsidR="004C12B1" w:rsidRPr="004C12B1" w:rsidRDefault="004C12B1" w:rsidP="004C12B1">
      <w:r w:rsidRPr="004C12B1">
        <w:t xml:space="preserve">NOTE: We’ve moved! Our new address is 601 Massachusetts Ave., NW, Suite 520, </w:t>
      </w:r>
      <w:proofErr w:type="gramStart"/>
      <w:r w:rsidRPr="004C12B1">
        <w:t>Washington,  DC</w:t>
      </w:r>
      <w:proofErr w:type="gramEnd"/>
      <w:r w:rsidRPr="004C12B1">
        <w:t xml:space="preserve"> 20001-6174</w:t>
      </w:r>
    </w:p>
    <w:p w14:paraId="6F5F374E" w14:textId="77777777" w:rsidR="004C12B1" w:rsidRPr="004C12B1" w:rsidRDefault="004C12B1" w:rsidP="004C12B1">
      <w:r w:rsidRPr="004C12B1">
        <w:t> </w:t>
      </w:r>
    </w:p>
    <w:p w14:paraId="32D9AF96" w14:textId="37F29DB4" w:rsidR="004C12B1" w:rsidRPr="004C12B1" w:rsidRDefault="004C12B1" w:rsidP="004C12B1">
      <w:r w:rsidRPr="004C12B1">
        <w:drawing>
          <wp:inline distT="0" distB="0" distL="0" distR="0" wp14:anchorId="3D5818F2" wp14:editId="720FA19C">
            <wp:extent cx="2838450" cy="704850"/>
            <wp:effectExtent l="0" t="0" r="0" b="0"/>
            <wp:docPr id="337160170" name="Picture 10"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blue and black text&#10;&#10;Description automatically generated"/>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838450" cy="704850"/>
                    </a:xfrm>
                    <a:prstGeom prst="rect">
                      <a:avLst/>
                    </a:prstGeom>
                    <a:noFill/>
                    <a:ln>
                      <a:noFill/>
                    </a:ln>
                  </pic:spPr>
                </pic:pic>
              </a:graphicData>
            </a:graphic>
          </wp:inline>
        </w:drawing>
      </w:r>
    </w:p>
    <w:p w14:paraId="6431D7E5" w14:textId="77777777" w:rsidR="004C12B1" w:rsidRPr="004C12B1" w:rsidRDefault="004C12B1" w:rsidP="004C12B1">
      <w:r w:rsidRPr="004C12B1">
        <w:t> </w:t>
      </w:r>
    </w:p>
    <w:p w14:paraId="67345431" w14:textId="70FEADF4" w:rsidR="004C12B1" w:rsidRPr="004C12B1" w:rsidRDefault="004C12B1" w:rsidP="004C12B1">
      <w:r w:rsidRPr="004C12B1">
        <w:drawing>
          <wp:inline distT="0" distB="0" distL="0" distR="0" wp14:anchorId="77C1C8DD" wp14:editId="208A3422">
            <wp:extent cx="247650" cy="247650"/>
            <wp:effectExtent l="0" t="0" r="0" b="0"/>
            <wp:docPr id="1544647513" name="Picture 9" descr="Title: LinkedIn - Description: image of LinkedIn icon">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LinkedIn - Description: image of LinkedIn icon"/>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4C12B1">
        <w:drawing>
          <wp:inline distT="0" distB="0" distL="0" distR="0" wp14:anchorId="6043B507" wp14:editId="25C4B5EB">
            <wp:extent cx="247650" cy="247650"/>
            <wp:effectExtent l="0" t="0" r="0" b="0"/>
            <wp:docPr id="748640198" name="Picture 8" descr="Title: Twitter - Description: image of Twitter icon">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Twitter - Description: image of Twitter icon"/>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5D8EBA22" w14:textId="77777777" w:rsidR="004C12B1" w:rsidRPr="004C12B1" w:rsidRDefault="004C12B1" w:rsidP="004C12B1"/>
    <w:p w14:paraId="47879E7E" w14:textId="77777777" w:rsidR="004C12B1" w:rsidRPr="004C12B1" w:rsidRDefault="004C12B1" w:rsidP="004C12B1"/>
    <w:p w14:paraId="38D81014" w14:textId="77777777" w:rsidR="004C12B1" w:rsidRPr="004C12B1" w:rsidRDefault="004C12B1" w:rsidP="004C12B1"/>
    <w:p w14:paraId="3B2B22FC" w14:textId="34E80547" w:rsidR="0053657B" w:rsidRDefault="004C12B1">
      <w:r>
        <w:rPr>
          <w:rFonts w:ascii="Times New Roman" w:hAnsi="Times New Roman" w:cs="Times New Roman"/>
          <w:noProof/>
          <w:kern w:val="0"/>
          <w14:ligatures w14:val="none"/>
        </w:rPr>
        <w:lastRenderedPageBreak/>
        <w:drawing>
          <wp:anchor distT="0" distB="0" distL="114300" distR="114300" simplePos="0" relativeHeight="251658240" behindDoc="0" locked="0" layoutInCell="1" allowOverlap="1" wp14:anchorId="5EF089E4" wp14:editId="4A491DF8">
            <wp:simplePos x="0" y="0"/>
            <wp:positionH relativeFrom="margin">
              <wp:posOffset>0</wp:posOffset>
            </wp:positionH>
            <wp:positionV relativeFrom="margin">
              <wp:posOffset>285750</wp:posOffset>
            </wp:positionV>
            <wp:extent cx="5943600" cy="2096135"/>
            <wp:effectExtent l="0" t="0" r="0" b="0"/>
            <wp:wrapSquare wrapText="bothSides"/>
            <wp:docPr id="905201229" name="Picture 1"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01229" name="Picture 1" descr="A white building with a dom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t="2975" b="2975"/>
                    <a:stretch>
                      <a:fillRect/>
                    </a:stretch>
                  </pic:blipFill>
                  <pic:spPr bwMode="auto">
                    <a:xfrm>
                      <a:off x="0" y="0"/>
                      <a:ext cx="5943600" cy="2096135"/>
                    </a:xfrm>
                    <a:prstGeom prst="rect">
                      <a:avLst/>
                    </a:prstGeom>
                    <a:noFill/>
                  </pic:spPr>
                </pic:pic>
              </a:graphicData>
            </a:graphic>
            <wp14:sizeRelH relativeFrom="page">
              <wp14:pctWidth>0</wp14:pctWidth>
            </wp14:sizeRelH>
            <wp14:sizeRelV relativeFrom="margin">
              <wp14:pctHeight>0</wp14:pctHeight>
            </wp14:sizeRelV>
          </wp:anchor>
        </w:drawing>
      </w:r>
    </w:p>
    <w:sectPr w:rsidR="005365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6C70F64"/>
    <w:multiLevelType w:val="hybridMultilevel"/>
    <w:tmpl w:val="A69ADA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2010986050">
    <w:abstractNumId w:val="1"/>
    <w:lvlOverride w:ilvl="0"/>
    <w:lvlOverride w:ilvl="1"/>
    <w:lvlOverride w:ilvl="2"/>
    <w:lvlOverride w:ilvl="3"/>
    <w:lvlOverride w:ilvl="4"/>
    <w:lvlOverride w:ilvl="5"/>
    <w:lvlOverride w:ilvl="6"/>
    <w:lvlOverride w:ilvl="7"/>
    <w:lvlOverride w:ilvl="8"/>
  </w:num>
  <w:num w:numId="2" w16cid:durableId="60562453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2B1"/>
    <w:rsid w:val="002A3786"/>
    <w:rsid w:val="004C12B1"/>
    <w:rsid w:val="0053657B"/>
    <w:rsid w:val="00ED4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4346A"/>
  <w15:chartTrackingRefBased/>
  <w15:docId w15:val="{19C581A8-C409-475F-A9F7-C8B33CBA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2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2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2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2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2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2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2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2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2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2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2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2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2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2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2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2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2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2B1"/>
    <w:rPr>
      <w:rFonts w:eastAsiaTheme="majorEastAsia" w:cstheme="majorBidi"/>
      <w:color w:val="272727" w:themeColor="text1" w:themeTint="D8"/>
    </w:rPr>
  </w:style>
  <w:style w:type="paragraph" w:styleId="Title">
    <w:name w:val="Title"/>
    <w:basedOn w:val="Normal"/>
    <w:next w:val="Normal"/>
    <w:link w:val="TitleChar"/>
    <w:uiPriority w:val="10"/>
    <w:qFormat/>
    <w:rsid w:val="004C12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2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2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2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2B1"/>
    <w:pPr>
      <w:spacing w:before="160"/>
      <w:jc w:val="center"/>
    </w:pPr>
    <w:rPr>
      <w:i/>
      <w:iCs/>
      <w:color w:val="404040" w:themeColor="text1" w:themeTint="BF"/>
    </w:rPr>
  </w:style>
  <w:style w:type="character" w:customStyle="1" w:styleId="QuoteChar">
    <w:name w:val="Quote Char"/>
    <w:basedOn w:val="DefaultParagraphFont"/>
    <w:link w:val="Quote"/>
    <w:uiPriority w:val="29"/>
    <w:rsid w:val="004C12B1"/>
    <w:rPr>
      <w:i/>
      <w:iCs/>
      <w:color w:val="404040" w:themeColor="text1" w:themeTint="BF"/>
    </w:rPr>
  </w:style>
  <w:style w:type="paragraph" w:styleId="ListParagraph">
    <w:name w:val="List Paragraph"/>
    <w:basedOn w:val="Normal"/>
    <w:uiPriority w:val="34"/>
    <w:qFormat/>
    <w:rsid w:val="004C12B1"/>
    <w:pPr>
      <w:ind w:left="720"/>
      <w:contextualSpacing/>
    </w:pPr>
  </w:style>
  <w:style w:type="character" w:styleId="IntenseEmphasis">
    <w:name w:val="Intense Emphasis"/>
    <w:basedOn w:val="DefaultParagraphFont"/>
    <w:uiPriority w:val="21"/>
    <w:qFormat/>
    <w:rsid w:val="004C12B1"/>
    <w:rPr>
      <w:i/>
      <w:iCs/>
      <w:color w:val="0F4761" w:themeColor="accent1" w:themeShade="BF"/>
    </w:rPr>
  </w:style>
  <w:style w:type="paragraph" w:styleId="IntenseQuote">
    <w:name w:val="Intense Quote"/>
    <w:basedOn w:val="Normal"/>
    <w:next w:val="Normal"/>
    <w:link w:val="IntenseQuoteChar"/>
    <w:uiPriority w:val="30"/>
    <w:qFormat/>
    <w:rsid w:val="004C12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2B1"/>
    <w:rPr>
      <w:i/>
      <w:iCs/>
      <w:color w:val="0F4761" w:themeColor="accent1" w:themeShade="BF"/>
    </w:rPr>
  </w:style>
  <w:style w:type="character" w:styleId="IntenseReference">
    <w:name w:val="Intense Reference"/>
    <w:basedOn w:val="DefaultParagraphFont"/>
    <w:uiPriority w:val="32"/>
    <w:qFormat/>
    <w:rsid w:val="004C12B1"/>
    <w:rPr>
      <w:b/>
      <w:bCs/>
      <w:smallCaps/>
      <w:color w:val="0F4761" w:themeColor="accent1" w:themeShade="BF"/>
      <w:spacing w:val="5"/>
    </w:rPr>
  </w:style>
  <w:style w:type="character" w:styleId="Hyperlink">
    <w:name w:val="Hyperlink"/>
    <w:basedOn w:val="DefaultParagraphFont"/>
    <w:uiPriority w:val="99"/>
    <w:unhideWhenUsed/>
    <w:rsid w:val="004C12B1"/>
    <w:rPr>
      <w:color w:val="467886" w:themeColor="hyperlink"/>
      <w:u w:val="single"/>
    </w:rPr>
  </w:style>
  <w:style w:type="character" w:styleId="UnresolvedMention">
    <w:name w:val="Unresolved Mention"/>
    <w:basedOn w:val="DefaultParagraphFont"/>
    <w:uiPriority w:val="99"/>
    <w:semiHidden/>
    <w:unhideWhenUsed/>
    <w:rsid w:val="004C1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570750">
      <w:bodyDiv w:val="1"/>
      <w:marLeft w:val="0"/>
      <w:marRight w:val="0"/>
      <w:marTop w:val="0"/>
      <w:marBottom w:val="0"/>
      <w:divBdr>
        <w:top w:val="none" w:sz="0" w:space="0" w:color="auto"/>
        <w:left w:val="none" w:sz="0" w:space="0" w:color="auto"/>
        <w:bottom w:val="none" w:sz="0" w:space="0" w:color="auto"/>
        <w:right w:val="none" w:sz="0" w:space="0" w:color="auto"/>
      </w:divBdr>
    </w:div>
    <w:div w:id="70302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amc.org/advocacy-policy/washington-highlights/rep-tom-cole-elected-chair-house-appropriations-committee" TargetMode="External"/><Relationship Id="rId18" Type="http://schemas.openxmlformats.org/officeDocument/2006/relationships/image" Target="media/image2.jpeg"/><Relationship Id="rId26" Type="http://schemas.openxmlformats.org/officeDocument/2006/relationships/hyperlink" Target="https://www.linkedin.com/company/healthsperien/" TargetMode="External"/><Relationship Id="rId3" Type="http://schemas.openxmlformats.org/officeDocument/2006/relationships/settings" Target="settings.xml"/><Relationship Id="rId21" Type="http://schemas.openxmlformats.org/officeDocument/2006/relationships/image" Target="cid:image004.png@01DA94C6.B8A88BE0" TargetMode="External"/><Relationship Id="rId7" Type="http://schemas.openxmlformats.org/officeDocument/2006/relationships/hyperlink" Target="https://democrats-edworkforce.house.gov/imo/media/doc/ranking_member_scott__help_ranking_member_desaulnier_letter_to_dol_on_disability_and_mental_health_parity_enforcement.pdf" TargetMode="External"/><Relationship Id="rId12" Type="http://schemas.openxmlformats.org/officeDocument/2006/relationships/hyperlink" Target="https://www.politico.com/newsletters/prescription-pulse/2024/04/19/vax-rivals-head-to-the-pharmacy-00153232" TargetMode="External"/><Relationship Id="rId17" Type="http://schemas.openxmlformats.org/officeDocument/2006/relationships/hyperlink" Target="https://www.eventbrite.com/e/2024-aapd-national-community-event-tickets-808097610707?aff=ebdshpsearchautocomplete" TargetMode="External"/><Relationship Id="rId25" Type="http://schemas.openxmlformats.org/officeDocument/2006/relationships/image" Target="cid:image005.png@01DA94C6.B8A88BE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ipartisanpolicy.org/event/optimizing-medicare-medicaid-integration-for-dually-eligible-beneficiaries/" TargetMode="External"/><Relationship Id="rId20" Type="http://schemas.openxmlformats.org/officeDocument/2006/relationships/image" Target="media/image3.png"/><Relationship Id="rId29" Type="http://schemas.openxmlformats.org/officeDocument/2006/relationships/hyperlink" Target="https://twitter.com/healthsperien?lang=en" TargetMode="External"/><Relationship Id="rId1" Type="http://schemas.openxmlformats.org/officeDocument/2006/relationships/numbering" Target="numbering.xml"/><Relationship Id="rId6" Type="http://schemas.openxmlformats.org/officeDocument/2006/relationships/hyperlink" Target="https://www.federalregister.gov/documents/2024/03/27/2024-06464/omitting-food-from-in-kind-support-and-maintenance-calculations" TargetMode="External"/><Relationship Id="rId11" Type="http://schemas.openxmlformats.org/officeDocument/2006/relationships/hyperlink" Target="https://nashp.org/state-tracker/how-states-use-the-national-standards-for-cyshcn-in-their-health-care-systems/?utm_source=Nashp+Enews&amp;utm_campaign=a8818b7502-EMAIL_CAMPAIGN_APR_02_2024_COPY_01&amp;utm_medium=email&amp;utm_term=0_afe3b8a6e2-a8818b7502-189378325" TargetMode="External"/><Relationship Id="rId24" Type="http://schemas.openxmlformats.org/officeDocument/2006/relationships/image" Target="media/image4.pn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www.reuters.com/legal/litigation/supreme-court-considers-emtala-preemption-state-abortion-bans-2024-04-18/" TargetMode="External"/><Relationship Id="rId23" Type="http://schemas.openxmlformats.org/officeDocument/2006/relationships/hyperlink" Target="http://www.healthsperien.com/" TargetMode="External"/><Relationship Id="rId28" Type="http://schemas.openxmlformats.org/officeDocument/2006/relationships/image" Target="cid:image006.png@01DA94C6.B8A88BE0" TargetMode="External"/><Relationship Id="rId10" Type="http://schemas.openxmlformats.org/officeDocument/2006/relationships/hyperlink" Target="https://debbiedingell.house.gov/news/documentsingle.aspx?DocumentID=5041" TargetMode="External"/><Relationship Id="rId19" Type="http://schemas.openxmlformats.org/officeDocument/2006/relationships/image" Target="cid:image003.jpg@01DA94C6.B8A88BE0" TargetMode="External"/><Relationship Id="rId31" Type="http://schemas.openxmlformats.org/officeDocument/2006/relationships/image" Target="cid:image007.png@01DA94C6.B8A88BE0" TargetMode="External"/><Relationship Id="rId4" Type="http://schemas.openxmlformats.org/officeDocument/2006/relationships/webSettings" Target="webSettings.xml"/><Relationship Id="rId9" Type="http://schemas.openxmlformats.org/officeDocument/2006/relationships/hyperlink" Target="https://www.casey.senate.gov/download/ltc-workforce-support-act" TargetMode="External"/><Relationship Id="rId14" Type="http://schemas.openxmlformats.org/officeDocument/2006/relationships/hyperlink" Target="https://insidehealthpolicy.com/daily-news/thune-aha-lame-duck-package-could-reform-pbms-340b-doc-pay-extend-telehealth?utm_medium=mh" TargetMode="External"/><Relationship Id="rId22" Type="http://schemas.openxmlformats.org/officeDocument/2006/relationships/hyperlink" Target="mailto:blindberg@healthsperien.com" TargetMode="External"/><Relationship Id="rId27" Type="http://schemas.openxmlformats.org/officeDocument/2006/relationships/image" Target="media/image5.png"/><Relationship Id="rId30" Type="http://schemas.openxmlformats.org/officeDocument/2006/relationships/image" Target="media/image6.png"/><Relationship Id="rId8" Type="http://schemas.openxmlformats.org/officeDocument/2006/relationships/hyperlink" Target="https://www.casey.senate.gov/news/releases/amidst-caregiving-crisis-casey-kaine-baldwin-introduce-bill-to-revitalize-nations-long-term-care-workfo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1467</Words>
  <Characters>8363</Characters>
  <Application>Microsoft Office Word</Application>
  <DocSecurity>0</DocSecurity>
  <Lines>69</Lines>
  <Paragraphs>19</Paragraphs>
  <ScaleCrop>false</ScaleCrop>
  <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Lindberg</dc:creator>
  <cp:keywords/>
  <dc:description/>
  <cp:lastModifiedBy>Brian Lindberg</cp:lastModifiedBy>
  <cp:revision>1</cp:revision>
  <dcterms:created xsi:type="dcterms:W3CDTF">2024-07-17T18:25:00Z</dcterms:created>
  <dcterms:modified xsi:type="dcterms:W3CDTF">2024-07-17T18:26:00Z</dcterms:modified>
</cp:coreProperties>
</file>