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3056ABC6"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777A8">
        <w:rPr>
          <w:rFonts w:ascii="Poppins SemiBold" w:hAnsi="Poppins SemiBold" w:cs="Poppins SemiBold"/>
          <w:noProof/>
          <w:sz w:val="32"/>
          <w:szCs w:val="32"/>
        </w:rPr>
        <w:t>Au</w:t>
      </w:r>
      <w:r w:rsidR="004C7BB5">
        <w:rPr>
          <w:rFonts w:ascii="Poppins SemiBold" w:hAnsi="Poppins SemiBold" w:cs="Poppins SemiBold"/>
          <w:noProof/>
          <w:sz w:val="32"/>
          <w:szCs w:val="32"/>
        </w:rPr>
        <w:t>gu</w:t>
      </w:r>
      <w:r w:rsidR="005777A8">
        <w:rPr>
          <w:rFonts w:ascii="Poppins SemiBold" w:hAnsi="Poppins SemiBold" w:cs="Poppins SemiBold"/>
          <w:noProof/>
          <w:sz w:val="32"/>
          <w:szCs w:val="32"/>
        </w:rPr>
        <w:t xml:space="preserve">st </w:t>
      </w:r>
      <w:r w:rsidR="007457BD">
        <w:rPr>
          <w:rFonts w:ascii="Poppins SemiBold" w:hAnsi="Poppins SemiBold" w:cs="Poppins SemiBold"/>
          <w:noProof/>
          <w:sz w:val="32"/>
          <w:szCs w:val="32"/>
        </w:rPr>
        <w:t>21</w:t>
      </w:r>
      <w:r w:rsidRPr="00736378">
        <w:rPr>
          <w:rFonts w:ascii="Poppins SemiBold" w:hAnsi="Poppins SemiBold" w:cs="Poppins SemiBold"/>
          <w:noProof/>
          <w:sz w:val="32"/>
          <w:szCs w:val="32"/>
        </w:rPr>
        <w:t>, 2024</w:t>
      </w:r>
    </w:p>
    <w:p w14:paraId="1B6046C6" w14:textId="3470BBA3" w:rsidR="00BA4207" w:rsidRPr="00E007ED" w:rsidRDefault="007A1522" w:rsidP="00BA4207">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MACPAC Publishes Issue Brief Examining Access to Services and Supports for Seniors and Adults with Physical Disabilities</w:t>
      </w:r>
    </w:p>
    <w:p w14:paraId="37CF00D9" w14:textId="2420A829" w:rsidR="00BA4207" w:rsidRPr="00BA4207" w:rsidRDefault="00BA4207" w:rsidP="00BA4207">
      <w:pPr>
        <w:spacing w:after="0" w:line="240" w:lineRule="auto"/>
        <w:ind w:left="360"/>
        <w:rPr>
          <w:rFonts w:cs="Poppins"/>
          <w:szCs w:val="20"/>
        </w:rPr>
      </w:pPr>
      <w:r w:rsidRPr="00624E9D">
        <w:rPr>
          <w:rFonts w:cs="Poppins"/>
          <w:szCs w:val="20"/>
        </w:rPr>
        <w:t xml:space="preserve">The Medicaid and CHIP Payment and Access Commission (MACPAC) </w:t>
      </w:r>
      <w:hyperlink r:id="rId8" w:tgtFrame="_blank" w:history="1">
        <w:r w:rsidRPr="00624E9D">
          <w:rPr>
            <w:rStyle w:val="Hyperlink"/>
            <w:rFonts w:cs="Poppins"/>
            <w:szCs w:val="20"/>
          </w:rPr>
          <w:t>released</w:t>
        </w:r>
      </w:hyperlink>
      <w:r w:rsidRPr="00624E9D">
        <w:rPr>
          <w:rFonts w:cs="Poppins"/>
          <w:szCs w:val="20"/>
        </w:rPr>
        <w:t xml:space="preserve"> an issue brief examining access to services and supports for two groups of survey respondents who used Medicaid-funded long-term services and supports (LTSS): Medicaid beneficiaries aged 65 and older (including individuals with physical disabilities) and Medicaid beneficiaries aged</w:t>
      </w:r>
      <w:r>
        <w:rPr>
          <w:rFonts w:cs="Poppins"/>
          <w:szCs w:val="20"/>
        </w:rPr>
        <w:t xml:space="preserve"> </w:t>
      </w:r>
      <w:r w:rsidRPr="00624E9D">
        <w:rPr>
          <w:rFonts w:cs="Poppins"/>
          <w:szCs w:val="20"/>
        </w:rPr>
        <w:t>18-64 with physical disabilities. In their analysis of the study population, MACPAC compared individuals who were dually eligible for Medicaid and Medicare to people covered by Medicaid only. Dually eligible survey respondents were less likely than Medicaid-only beneficiaries to live in their own home, a family house, or an apartment or to reside in a group home, adult family home, or foster home. </w:t>
      </w:r>
    </w:p>
    <w:p w14:paraId="3AC6032D" w14:textId="11488D89" w:rsidR="00C32E81" w:rsidRDefault="00C32E81" w:rsidP="00B92E39">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 xml:space="preserve">Social Security Announces Changes to Compassionate Allowances </w:t>
      </w:r>
    </w:p>
    <w:p w14:paraId="3A874039" w14:textId="1B0450D7" w:rsidR="00C32E81" w:rsidRPr="00C32E81" w:rsidRDefault="00C32E81" w:rsidP="00C32E81">
      <w:pPr>
        <w:pStyle w:val="ListParagraph"/>
        <w:spacing w:before="240" w:after="0"/>
        <w:ind w:left="360"/>
        <w:rPr>
          <w:rFonts w:cs="Poppins"/>
          <w:szCs w:val="20"/>
        </w:rPr>
      </w:pPr>
      <w:r w:rsidRPr="00C32E81">
        <w:rPr>
          <w:rFonts w:cs="Poppins"/>
          <w:szCs w:val="20"/>
        </w:rPr>
        <w:t xml:space="preserve">Martin O’Malley, Commissioner of Social Security </w:t>
      </w:r>
      <w:hyperlink r:id="rId9" w:history="1">
        <w:r w:rsidRPr="00C32E81">
          <w:rPr>
            <w:rStyle w:val="Hyperlink"/>
            <w:rFonts w:cs="Poppins"/>
            <w:color w:val="auto"/>
            <w:szCs w:val="20"/>
          </w:rPr>
          <w:t>announced</w:t>
        </w:r>
      </w:hyperlink>
      <w:r w:rsidRPr="00C32E81">
        <w:rPr>
          <w:rFonts w:cs="Poppins"/>
          <w:szCs w:val="20"/>
        </w:rPr>
        <w:t xml:space="preserve"> nine new Compassionate Allowances (CAL) conditions and revisions to two existing CAL conditions: Bainbridge-Ropers Syndrome, Costello Syndrome, Adult Heart Transplant Wait List – status Levels 1-4, Child Heart Transplant Wait List – Status Levels 1A/1B (revised existing condition), Histiocytic Malignancies, Histiocytosis Syndromes (revised existing condition), Neonatal Marfan Syndrome, PACS1 Syndrome, </w:t>
      </w:r>
      <w:proofErr w:type="spellStart"/>
      <w:r w:rsidRPr="00C32E81">
        <w:rPr>
          <w:rFonts w:cs="Poppins"/>
          <w:szCs w:val="20"/>
        </w:rPr>
        <w:t>Plasmablastic</w:t>
      </w:r>
      <w:proofErr w:type="spellEnd"/>
      <w:r w:rsidRPr="00C32E81">
        <w:rPr>
          <w:rFonts w:cs="Poppins"/>
          <w:szCs w:val="20"/>
        </w:rPr>
        <w:t xml:space="preserve"> Lymphoma, Renal Medullary Carcinoma, and Snijders Blok-Campeau Syndrome. </w:t>
      </w:r>
    </w:p>
    <w:p w14:paraId="512A3DDF" w14:textId="77777777" w:rsidR="00C32E81" w:rsidRPr="00C32E81" w:rsidRDefault="00C32E81" w:rsidP="00C32E81">
      <w:pPr>
        <w:pStyle w:val="ListParagraph"/>
        <w:spacing w:before="240" w:after="0"/>
        <w:ind w:left="360"/>
        <w:rPr>
          <w:rFonts w:cs="Poppins"/>
          <w:color w:val="0F4761" w:themeColor="accent1" w:themeShade="BF"/>
          <w:szCs w:val="20"/>
        </w:rPr>
      </w:pPr>
    </w:p>
    <w:p w14:paraId="224728EF" w14:textId="4142CD2D" w:rsidR="00B92E39" w:rsidRDefault="00B36B2C" w:rsidP="00B92E39">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CMS Releases Negotiated Medicare Part D Drug Prices</w:t>
      </w:r>
    </w:p>
    <w:p w14:paraId="1BA4F491" w14:textId="665A1DFC" w:rsidR="00B92E39" w:rsidRDefault="00B92E39" w:rsidP="00B92E39">
      <w:pPr>
        <w:pStyle w:val="ListParagraph"/>
        <w:spacing w:before="240" w:after="0"/>
        <w:ind w:left="360"/>
        <w:rPr>
          <w:rFonts w:cs="Poppins"/>
          <w:szCs w:val="20"/>
        </w:rPr>
      </w:pPr>
      <w:r w:rsidRPr="00624E9D">
        <w:rPr>
          <w:rFonts w:cs="Poppins"/>
          <w:szCs w:val="20"/>
        </w:rPr>
        <w:t xml:space="preserve">The Centers for Medicare and Medicaid Services (CMS) under the Department of Health and Human Services (HHS) </w:t>
      </w:r>
      <w:hyperlink r:id="rId10" w:tgtFrame="_blank" w:history="1">
        <w:r w:rsidRPr="00624E9D">
          <w:rPr>
            <w:rStyle w:val="Hyperlink"/>
            <w:rFonts w:cs="Poppins"/>
            <w:szCs w:val="20"/>
          </w:rPr>
          <w:t>released</w:t>
        </w:r>
      </w:hyperlink>
      <w:r w:rsidRPr="00624E9D">
        <w:rPr>
          <w:rFonts w:cs="Poppins"/>
          <w:szCs w:val="20"/>
        </w:rPr>
        <w:t xml:space="preserve"> (</w:t>
      </w:r>
      <w:hyperlink r:id="rId11" w:tgtFrame="_blank" w:history="1">
        <w:r w:rsidRPr="00624E9D">
          <w:rPr>
            <w:rStyle w:val="Hyperlink"/>
            <w:rFonts w:cs="Poppins"/>
            <w:szCs w:val="20"/>
          </w:rPr>
          <w:t>fact sheet</w:t>
        </w:r>
      </w:hyperlink>
      <w:r w:rsidRPr="00624E9D">
        <w:rPr>
          <w:rFonts w:cs="Poppins"/>
          <w:szCs w:val="20"/>
        </w:rPr>
        <w:t xml:space="preserve">, </w:t>
      </w:r>
      <w:hyperlink r:id="rId12" w:tgtFrame="_blank" w:history="1">
        <w:r w:rsidRPr="00624E9D">
          <w:rPr>
            <w:rStyle w:val="Hyperlink"/>
            <w:rFonts w:cs="Poppins"/>
            <w:szCs w:val="20"/>
          </w:rPr>
          <w:t>infographic</w:t>
        </w:r>
      </w:hyperlink>
      <w:r w:rsidRPr="00624E9D">
        <w:rPr>
          <w:rFonts w:cs="Poppins"/>
          <w:szCs w:val="20"/>
        </w:rPr>
        <w:t xml:space="preserve">) the first set of the highly anticipated negotiated Part D Drug prices through the </w:t>
      </w:r>
      <w:hyperlink r:id="rId13" w:tgtFrame="_blank" w:history="1">
        <w:r w:rsidRPr="00624E9D">
          <w:rPr>
            <w:rStyle w:val="Hyperlink"/>
            <w:rFonts w:cs="Poppins"/>
            <w:szCs w:val="20"/>
          </w:rPr>
          <w:t>Medicare Drug Price Negotiation Program</w:t>
        </w:r>
      </w:hyperlink>
      <w:r w:rsidRPr="00624E9D">
        <w:rPr>
          <w:rFonts w:cs="Poppins"/>
          <w:szCs w:val="20"/>
        </w:rPr>
        <w:t xml:space="preserve">. In 2022, President Biden signed the </w:t>
      </w:r>
      <w:hyperlink r:id="rId14" w:tgtFrame="_blank" w:history="1">
        <w:r w:rsidRPr="00624E9D">
          <w:rPr>
            <w:rStyle w:val="Hyperlink"/>
            <w:rFonts w:cs="Poppins"/>
            <w:szCs w:val="20"/>
          </w:rPr>
          <w:t>Inflation Reduction Act</w:t>
        </w:r>
      </w:hyperlink>
      <w:r w:rsidRPr="00624E9D">
        <w:rPr>
          <w:rFonts w:cs="Poppins"/>
          <w:szCs w:val="20"/>
        </w:rPr>
        <w:t xml:space="preserve"> which in part allowed Medicare to directly negotiate high-expenditure, single source drugs with no generics or </w:t>
      </w:r>
      <w:r w:rsidRPr="00624E9D">
        <w:rPr>
          <w:rFonts w:cs="Poppins"/>
          <w:szCs w:val="20"/>
        </w:rPr>
        <w:lastRenderedPageBreak/>
        <w:t xml:space="preserve">biosimilars. After voluntary negotiation with manufacturers, CMS negotiated drug prices that were 38%-79% lower than the Calendar Year 2023 (CY23) list price. The 10 selected drugs were used by 8.8 million Medicare beneficiaries in CY23. The negotiated prices, referred to by statute as Maximum Fair Prices (MFPs) go into effect on January 1, 2026, can be found </w:t>
      </w:r>
      <w:hyperlink r:id="rId15" w:tgtFrame="_blank" w:history="1">
        <w:r w:rsidRPr="00624E9D">
          <w:rPr>
            <w:rStyle w:val="Hyperlink"/>
            <w:rFonts w:cs="Poppins"/>
            <w:szCs w:val="20"/>
          </w:rPr>
          <w:t>here</w:t>
        </w:r>
      </w:hyperlink>
      <w:r w:rsidRPr="00624E9D">
        <w:rPr>
          <w:rFonts w:cs="Poppins"/>
          <w:szCs w:val="20"/>
        </w:rPr>
        <w:t xml:space="preserve">. The Office of the Assistant Secretary for Planning and Evaluation (ASPE) also released an </w:t>
      </w:r>
      <w:hyperlink r:id="rId16" w:tgtFrame="_blank" w:history="1">
        <w:r w:rsidRPr="00624E9D">
          <w:rPr>
            <w:rStyle w:val="Hyperlink"/>
            <w:rFonts w:cs="Poppins"/>
            <w:szCs w:val="20"/>
          </w:rPr>
          <w:t>issue brief</w:t>
        </w:r>
      </w:hyperlink>
      <w:r w:rsidRPr="00624E9D">
        <w:rPr>
          <w:rFonts w:cs="Poppins"/>
          <w:szCs w:val="20"/>
        </w:rPr>
        <w:t xml:space="preserve"> which details how the maximum fair prices for these drugs negotiated compare to historical list prices and average transaction prices across all payers in the U.S. market. Amidst this announcement, several of the manufacturers participating in the drug price negotiation process are </w:t>
      </w:r>
      <w:hyperlink r:id="rId17" w:tgtFrame="_blank" w:history="1">
        <w:r w:rsidRPr="00624E9D">
          <w:rPr>
            <w:rStyle w:val="Hyperlink"/>
            <w:rFonts w:cs="Poppins"/>
            <w:szCs w:val="20"/>
          </w:rPr>
          <w:t>actively engaged</w:t>
        </w:r>
      </w:hyperlink>
      <w:r w:rsidRPr="00624E9D">
        <w:rPr>
          <w:rFonts w:cs="Poppins"/>
          <w:szCs w:val="20"/>
        </w:rPr>
        <w:t xml:space="preserve"> in lawsuits against the administration over the constitutionality program. Many of the lawsuits have been dismissed in US District Courts, but there is still a possibility that the issue ends up in front of the Supreme Court. </w:t>
      </w:r>
    </w:p>
    <w:p w14:paraId="2E398CFD" w14:textId="77777777" w:rsidR="00B92E39" w:rsidRDefault="00B92E39" w:rsidP="00B92E39">
      <w:pPr>
        <w:pStyle w:val="ListParagraph"/>
        <w:spacing w:before="240" w:after="0"/>
        <w:ind w:left="360"/>
        <w:rPr>
          <w:rFonts w:cs="Poppins"/>
          <w:szCs w:val="20"/>
        </w:rPr>
      </w:pPr>
    </w:p>
    <w:p w14:paraId="74F32A06" w14:textId="54D1B239" w:rsidR="00120C4B" w:rsidRPr="00E007ED" w:rsidRDefault="00141BD7" w:rsidP="00120C4B">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HHS and DOL Urge CEOs to Address Customer Service Issues in Health Coverage</w:t>
      </w:r>
    </w:p>
    <w:p w14:paraId="457A03DE" w14:textId="6F185647" w:rsidR="00120C4B" w:rsidRDefault="00624E9D" w:rsidP="00120C4B">
      <w:pPr>
        <w:spacing w:after="0" w:line="240" w:lineRule="auto"/>
        <w:ind w:left="360"/>
        <w:rPr>
          <w:rFonts w:cs="Poppins"/>
          <w:szCs w:val="20"/>
        </w:rPr>
      </w:pPr>
      <w:r w:rsidRPr="00624E9D">
        <w:rPr>
          <w:rFonts w:cs="Poppins"/>
          <w:szCs w:val="20"/>
        </w:rPr>
        <w:t xml:space="preserve">Secretary Xavier Becerra from the Department of Health and Human Services (HHS) and Acting Secretary Julie A. Su from the Department of Labor (DOL) </w:t>
      </w:r>
      <w:hyperlink r:id="rId18" w:tgtFrame="_blank" w:history="1">
        <w:r w:rsidRPr="00624E9D">
          <w:rPr>
            <w:rStyle w:val="Hyperlink"/>
            <w:rFonts w:cs="Poppins"/>
            <w:szCs w:val="20"/>
          </w:rPr>
          <w:t>released</w:t>
        </w:r>
      </w:hyperlink>
      <w:r w:rsidRPr="00624E9D">
        <w:rPr>
          <w:rFonts w:cs="Poppins"/>
          <w:szCs w:val="20"/>
        </w:rPr>
        <w:t xml:space="preserve"> a letter to CEOs on behalf of the Biden-Harris Administration's </w:t>
      </w:r>
      <w:hyperlink r:id="rId19" w:tgtFrame="_blank" w:history="1">
        <w:r w:rsidRPr="00624E9D">
          <w:rPr>
            <w:rStyle w:val="Hyperlink"/>
            <w:rFonts w:cs="Poppins"/>
            <w:szCs w:val="20"/>
          </w:rPr>
          <w:t>Time Is Money Initiative</w:t>
        </w:r>
      </w:hyperlink>
      <w:r w:rsidRPr="00624E9D">
        <w:rPr>
          <w:rFonts w:cs="Poppins"/>
          <w:szCs w:val="20"/>
        </w:rPr>
        <w:t>. In the letter, the Secretaries acknowledge points of aggravation, unnecessary red tape, and unhelpful customer service Americans experience when trying to utilize their health insurance. The Secretaries urge CEOs to partner with the Biden-Harris Administration to help improve their employees’ and beneficiaries’ experience with their health coverage options. They reaffirmed their commitment to address customer service issues with health coverage including law enforcement, data transparency, and increased public awareness efforts. In addition, they announced that the Office of Personnel Management (OPM) will concurrently explore ways to promote improved customer service among Federal Employee Health Benefits (FEHB) carriers. </w:t>
      </w:r>
    </w:p>
    <w:p w14:paraId="73089F49" w14:textId="51A3D3FE" w:rsidR="00120C4B" w:rsidRPr="00E007ED" w:rsidRDefault="007A1522" w:rsidP="00120C4B">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FDA Approves First Anaphylaxis Nasal Spray Treatment</w:t>
      </w:r>
    </w:p>
    <w:p w14:paraId="4B3CB56B" w14:textId="1FBF7444" w:rsidR="00120C4B" w:rsidRDefault="00120C4B" w:rsidP="00120C4B">
      <w:pPr>
        <w:spacing w:after="0" w:line="240" w:lineRule="auto"/>
        <w:ind w:left="360"/>
        <w:rPr>
          <w:rFonts w:cs="Poppins"/>
          <w:szCs w:val="20"/>
        </w:rPr>
      </w:pPr>
      <w:r w:rsidRPr="007475C0">
        <w:rPr>
          <w:rFonts w:cs="Poppins"/>
          <w:szCs w:val="20"/>
        </w:rPr>
        <w:t xml:space="preserve">The </w:t>
      </w:r>
      <w:r w:rsidR="00624E9D" w:rsidRPr="00624E9D">
        <w:rPr>
          <w:rFonts w:cs="Poppins"/>
          <w:szCs w:val="20"/>
        </w:rPr>
        <w:t xml:space="preserve">U.S. Food and Drug Administration recently </w:t>
      </w:r>
      <w:hyperlink r:id="rId20" w:tgtFrame="_blank" w:history="1">
        <w:r w:rsidR="00624E9D" w:rsidRPr="00624E9D">
          <w:rPr>
            <w:rStyle w:val="Hyperlink"/>
            <w:rFonts w:cs="Poppins"/>
            <w:szCs w:val="20"/>
          </w:rPr>
          <w:t>approved</w:t>
        </w:r>
      </w:hyperlink>
      <w:r w:rsidR="00624E9D" w:rsidRPr="00624E9D">
        <w:rPr>
          <w:rFonts w:cs="Poppins"/>
          <w:szCs w:val="20"/>
        </w:rPr>
        <w:t xml:space="preserve"> neffy (epinephrine nasal spray) for the emergency treatment of allergic reactions (Type I), including life-threatening reactions (anaphylaxis), in adult and pediatric patients. This is the first epinephrine product for treatment of anaphylaxis that is not administered by injection. The addition of an approved neffy may reduce barriers to rapid treatment of anaphylaxis, thereby providing an important treatment option and addressing an unmet need.</w:t>
      </w:r>
    </w:p>
    <w:p w14:paraId="2AB48385" w14:textId="43766CB2" w:rsidR="00120C4B" w:rsidRPr="00E007ED" w:rsidRDefault="00F00E34" w:rsidP="00120C4B">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Peterson-KFF Health System Tracker Finds Millions with Employer-Sponsored Insurance Impacted by Medicare Drug Price Negotiations</w:t>
      </w:r>
    </w:p>
    <w:p w14:paraId="651B7D4D" w14:textId="57B067E6" w:rsidR="00120C4B" w:rsidRPr="00B92E39" w:rsidRDefault="00120C4B" w:rsidP="00B92E39">
      <w:pPr>
        <w:spacing w:after="0" w:line="240" w:lineRule="auto"/>
        <w:ind w:left="360"/>
        <w:rPr>
          <w:rFonts w:cs="Poppins"/>
          <w:color w:val="000000"/>
          <w:shd w:val="clear" w:color="auto" w:fill="FFFFFF"/>
        </w:rPr>
      </w:pPr>
      <w:r w:rsidRPr="007475C0">
        <w:rPr>
          <w:rFonts w:cs="Poppins"/>
          <w:color w:val="000000"/>
          <w:szCs w:val="20"/>
          <w:shd w:val="clear" w:color="auto" w:fill="FFFFFF"/>
        </w:rPr>
        <w:t xml:space="preserve">The </w:t>
      </w:r>
      <w:r w:rsidR="00624E9D" w:rsidRPr="00624E9D">
        <w:rPr>
          <w:rFonts w:cs="Poppins"/>
          <w:color w:val="000000"/>
          <w:szCs w:val="20"/>
          <w:shd w:val="clear" w:color="auto" w:fill="FFFFFF"/>
        </w:rPr>
        <w:t xml:space="preserve">Peterson-Kaiser Health System Tracker </w:t>
      </w:r>
      <w:hyperlink r:id="rId21" w:tgtFrame="_blank" w:history="1">
        <w:r w:rsidR="00624E9D" w:rsidRPr="00624E9D">
          <w:rPr>
            <w:rStyle w:val="Hyperlink"/>
            <w:rFonts w:cs="Poppins"/>
            <w:szCs w:val="20"/>
            <w:shd w:val="clear" w:color="auto" w:fill="FFFFFF"/>
          </w:rPr>
          <w:t>released</w:t>
        </w:r>
      </w:hyperlink>
      <w:r w:rsidR="00624E9D" w:rsidRPr="00624E9D">
        <w:rPr>
          <w:rFonts w:cs="Poppins"/>
          <w:color w:val="000000"/>
          <w:szCs w:val="20"/>
          <w:shd w:val="clear" w:color="auto" w:fill="FFFFFF"/>
        </w:rPr>
        <w:t xml:space="preserve"> an analysis on the number of enrollees in the employer-sponsored insurance market who use one or more of the ten drugs selected for Medicare Part D price negotiations. The Inflation Reduction Act of 2022 </w:t>
      </w:r>
      <w:r w:rsidR="00624E9D" w:rsidRPr="00624E9D">
        <w:rPr>
          <w:rFonts w:cs="Poppins"/>
          <w:color w:val="000000"/>
          <w:szCs w:val="20"/>
          <w:shd w:val="clear" w:color="auto" w:fill="FFFFFF"/>
        </w:rPr>
        <w:lastRenderedPageBreak/>
        <w:t>introduced significant measures to reduce prescription drug costs, including the federal government negotiating prices for certain high-cost drugs under Medicare. Data found that 3.4 million people with employer-sponsored insurance in 2022 used at least one of the ten drugs selected for Medicare price negotiations. The impact of these negotiations on the private insurance market remains uncertain, with potential outcomes ranging from decreased prices to increased cost-shifting to private payers. As the Medicare program selects more drugs for future negotiations, millions more with private coverage could be affected. </w:t>
      </w:r>
    </w:p>
    <w:p w14:paraId="1423D3A8" w14:textId="260D3B18" w:rsidR="00067BCD" w:rsidRDefault="007A1522" w:rsidP="00067BCD">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Urban Institute Releases Report on Impact of Enhanced Premium Tax Credits on Coverage by Race and Ethnicity</w:t>
      </w:r>
    </w:p>
    <w:p w14:paraId="2B707421" w14:textId="2D677D3F" w:rsidR="00067BCD" w:rsidRDefault="00686BDF" w:rsidP="00067BCD">
      <w:pPr>
        <w:pStyle w:val="ListParagraph"/>
        <w:spacing w:before="240" w:after="0"/>
        <w:ind w:left="360"/>
        <w:rPr>
          <w:rFonts w:cs="Poppins"/>
          <w:szCs w:val="20"/>
        </w:rPr>
      </w:pPr>
      <w:r w:rsidRPr="00686BDF">
        <w:rPr>
          <w:rFonts w:cs="Poppins"/>
          <w:szCs w:val="20"/>
        </w:rPr>
        <w:t xml:space="preserve">The </w:t>
      </w:r>
      <w:r w:rsidR="00624E9D" w:rsidRPr="00624E9D">
        <w:rPr>
          <w:rFonts w:cs="Poppins"/>
          <w:szCs w:val="20"/>
        </w:rPr>
        <w:t xml:space="preserve">Urban Institute </w:t>
      </w:r>
      <w:hyperlink r:id="rId22" w:tgtFrame="_blank" w:history="1">
        <w:r w:rsidR="00624E9D" w:rsidRPr="00624E9D">
          <w:rPr>
            <w:rStyle w:val="Hyperlink"/>
            <w:rFonts w:cs="Poppins"/>
            <w:szCs w:val="20"/>
          </w:rPr>
          <w:t>published</w:t>
        </w:r>
      </w:hyperlink>
      <w:r w:rsidR="00624E9D" w:rsidRPr="00624E9D">
        <w:rPr>
          <w:rFonts w:cs="Poppins"/>
          <w:szCs w:val="20"/>
        </w:rPr>
        <w:t xml:space="preserve"> a brief titled “The Impact of Enhanced Premium Tax Credits on Coverage by Race and Ethnicity.” With Congress to soon debate over whether to extend enhanced premium tax credits (PTCs) again or possibly make them permanent, researchers sought to estimate coverage of the nonelderly population (under 65 years old) in 2025 with and without enhanced premium tax credits (PTCs) by race and ethnicity to gauge the impact of the more generous credits. Under enhanced PTCs, Black and Hispanic people will be enrolled in the nongroup market at higher rates than White people in 2025. With enhanced PTCs, Black and Hispanic people will account for a larger share of nongroup enrollment in 2025 than they would have without them. Black and Hispanic people will see greater reductions in the percent of uninsured people relative to White people because of enhanced PTCs. Increases in nongroup enrollment and decreases in uninsurance among Black and Hispanic people because of enhanced PTCs are greater in non-expansion states than in expansion states. Gains for Black and Hispanic people will likely be reversed after 2025 if Congress does not extend the enhanced PTCs. </w:t>
      </w:r>
    </w:p>
    <w:p w14:paraId="78643388" w14:textId="77777777" w:rsidR="00BA4207" w:rsidRDefault="00BA4207" w:rsidP="00067BCD">
      <w:pPr>
        <w:pStyle w:val="ListParagraph"/>
        <w:spacing w:before="240" w:after="0"/>
        <w:ind w:left="360"/>
        <w:rPr>
          <w:rFonts w:cs="Poppins"/>
          <w:szCs w:val="20"/>
        </w:rPr>
      </w:pPr>
    </w:p>
    <w:p w14:paraId="7BF28810" w14:textId="0F815CB6" w:rsidR="00BA4207" w:rsidRPr="00E007ED" w:rsidRDefault="00B52071" w:rsidP="00BA4207">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Commonwealth Fund Finds US Women Have Poorer Health Outcomes Compared to Other High-Income Countries</w:t>
      </w:r>
    </w:p>
    <w:p w14:paraId="0F6D1409" w14:textId="723981EF" w:rsidR="00067BCD" w:rsidRPr="00BA4207" w:rsidRDefault="00BA4207" w:rsidP="00BA4207">
      <w:pPr>
        <w:spacing w:after="0" w:line="240" w:lineRule="auto"/>
        <w:ind w:left="360"/>
        <w:rPr>
          <w:rFonts w:cs="Poppins"/>
          <w:szCs w:val="20"/>
        </w:rPr>
      </w:pPr>
      <w:r>
        <w:rPr>
          <w:rFonts w:cs="Poppins"/>
          <w:szCs w:val="20"/>
        </w:rPr>
        <w:t>The</w:t>
      </w:r>
      <w:r w:rsidRPr="00624E9D">
        <w:rPr>
          <w:rFonts w:ascii="Arial" w:hAnsi="Arial" w:cs="Arial"/>
          <w:color w:val="000000"/>
          <w:sz w:val="21"/>
          <w:szCs w:val="21"/>
          <w:shd w:val="clear" w:color="auto" w:fill="FFFFFF"/>
        </w:rPr>
        <w:t xml:space="preserve"> </w:t>
      </w:r>
      <w:r w:rsidRPr="00624E9D">
        <w:rPr>
          <w:rFonts w:cs="Poppins"/>
          <w:szCs w:val="20"/>
        </w:rPr>
        <w:t xml:space="preserve">Commonwealth Fund </w:t>
      </w:r>
      <w:hyperlink r:id="rId23" w:tgtFrame="_blank" w:history="1">
        <w:r w:rsidRPr="00624E9D">
          <w:rPr>
            <w:rStyle w:val="Hyperlink"/>
            <w:rFonts w:cs="Poppins"/>
            <w:szCs w:val="20"/>
          </w:rPr>
          <w:t>released</w:t>
        </w:r>
      </w:hyperlink>
      <w:r w:rsidRPr="00624E9D">
        <w:rPr>
          <w:rFonts w:cs="Poppins"/>
          <w:szCs w:val="20"/>
        </w:rPr>
        <w:t xml:space="preserve"> an issue brief on U.S. women’s health outcomes compared to other high-income countries. They found that U.S. women at birth have a shorter life expectancy by 2 years and the highest rate of avoidable deaths by at least 88 deaths per 100,000. Rates of cervical and breast cancer among U.S. women were comparable to other high-income countries; however, the U.S. had the highest rates of women dying due to cardiovascular disease. The United States was found to be the only high-income country with an uninsured woman population. U.S. women had the highest likelihood of skipping physical (51%) or mental (27%) health care due to cost. Furthermore, U.S. women had the highest likelihood of struggling to pay medical bills (55%) which is 22% higher than the next highest country (Australia). </w:t>
      </w:r>
    </w:p>
    <w:p w14:paraId="73147EBC" w14:textId="58CE00FA" w:rsidR="005777A8" w:rsidRPr="00E007ED" w:rsidRDefault="007A1522" w:rsidP="005777A8">
      <w:pPr>
        <w:pStyle w:val="ListParagraph"/>
        <w:numPr>
          <w:ilvl w:val="0"/>
          <w:numId w:val="1"/>
        </w:numPr>
        <w:spacing w:before="240" w:after="0"/>
        <w:rPr>
          <w:rFonts w:cs="Poppins"/>
          <w:szCs w:val="20"/>
        </w:rPr>
      </w:pPr>
      <w:r>
        <w:rPr>
          <w:rFonts w:ascii="Poppins Medium" w:hAnsi="Poppins Medium" w:cs="Poppins Medium"/>
          <w:i/>
          <w:iCs/>
          <w:color w:val="0F4761" w:themeColor="accent1" w:themeShade="BF"/>
          <w:sz w:val="24"/>
          <w:szCs w:val="24"/>
        </w:rPr>
        <w:t xml:space="preserve">Health Affairs </w:t>
      </w:r>
      <w:r>
        <w:rPr>
          <w:rFonts w:ascii="Poppins Medium" w:hAnsi="Poppins Medium" w:cs="Poppins Medium"/>
          <w:color w:val="0F4761" w:themeColor="accent1" w:themeShade="BF"/>
          <w:sz w:val="24"/>
          <w:szCs w:val="24"/>
        </w:rPr>
        <w:t>Publishes Article Analyzing the Medicare LIS PDP Market</w:t>
      </w:r>
    </w:p>
    <w:p w14:paraId="7BF2BCFF" w14:textId="4EF628A8" w:rsidR="00CF680F" w:rsidRPr="00120C4B" w:rsidRDefault="00624E9D" w:rsidP="00120C4B">
      <w:pPr>
        <w:spacing w:after="0" w:line="240" w:lineRule="auto"/>
        <w:ind w:left="360"/>
        <w:rPr>
          <w:rFonts w:cs="Poppins"/>
          <w:szCs w:val="20"/>
        </w:rPr>
      </w:pPr>
      <w:r w:rsidRPr="00624E9D">
        <w:rPr>
          <w:rFonts w:cs="Poppins"/>
          <w:i/>
          <w:iCs/>
          <w:szCs w:val="20"/>
        </w:rPr>
        <w:lastRenderedPageBreak/>
        <w:t>Health Affairs</w:t>
      </w:r>
      <w:r w:rsidRPr="00624E9D">
        <w:rPr>
          <w:rFonts w:cs="Poppins"/>
          <w:szCs w:val="20"/>
        </w:rPr>
        <w:t xml:space="preserve"> published an </w:t>
      </w:r>
      <w:hyperlink r:id="rId24" w:tgtFrame="_blank" w:history="1">
        <w:r w:rsidRPr="00624E9D">
          <w:rPr>
            <w:rStyle w:val="Hyperlink"/>
            <w:rFonts w:cs="Poppins"/>
            <w:szCs w:val="20"/>
          </w:rPr>
          <w:t>article</w:t>
        </w:r>
      </w:hyperlink>
      <w:r w:rsidRPr="00624E9D">
        <w:rPr>
          <w:rFonts w:cs="Poppins"/>
          <w:szCs w:val="20"/>
        </w:rPr>
        <w:t xml:space="preserve"> titled “Decoding Low-Income Subsidy Prescription Drug Plans: Policy And Market Realities”. The article discusses the significant upheaval facing the Prescription Drug Plan (PDP) market due to a combination of government policies and market trends, particularly impacting plans serving Medicare beneficiaries who receive the low-income subsidy (LIS). Key challenges discussed include increased drug cost liabilities under the Inflation Reduction Act, disproportionately impacting standalone PDPs compared to Medicare Advantage Prescription Drug (MAPD) plans. As a result, fewer Part D plans can bid at the benchmark level required to receive LIS beneficiaries, leading to market exits and reduced plan options for LIS beneficiaries. Additionally, PDPs with high LIS enrollment struggle with lower star ratings, particularly in medication adherence, which can be partially attributed to challenges in member engagement and coordination with healthcare providers. The ongoing decrease in available LIS benchmark plans threatens the stability of the market, leading to more frequent reassignment of beneficiaries and limiting their access to affordable and quality care. The article highlights the need for comprehensive solutions to address these disparities to ensure continued access for the most vulnerable Medicare enrollees. </w:t>
      </w:r>
    </w:p>
    <w:p w14:paraId="0EF95EC2" w14:textId="3F203B24" w:rsidR="00CF680F" w:rsidRDefault="007A1522" w:rsidP="00CF680F">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Pew Releases Fact Sheet on Relationship Between Rises in Stimulant Misuse and Fatal Opioid Overdoses</w:t>
      </w:r>
    </w:p>
    <w:p w14:paraId="65DB4C26" w14:textId="6DA8AF38" w:rsidR="00CF680F" w:rsidRDefault="00624E9D" w:rsidP="00CF680F">
      <w:pPr>
        <w:pStyle w:val="ListParagraph"/>
        <w:spacing w:before="240" w:after="0"/>
        <w:ind w:left="360"/>
        <w:rPr>
          <w:rFonts w:cs="Poppins"/>
          <w:szCs w:val="20"/>
        </w:rPr>
      </w:pPr>
      <w:r w:rsidRPr="00624E9D">
        <w:rPr>
          <w:rFonts w:cs="Poppins"/>
          <w:szCs w:val="20"/>
        </w:rPr>
        <w:t xml:space="preserve">The Pew Charitable Trusts recently </w:t>
      </w:r>
      <w:hyperlink r:id="rId25" w:tgtFrame="_blank" w:history="1">
        <w:r w:rsidRPr="00624E9D">
          <w:rPr>
            <w:rStyle w:val="Hyperlink"/>
            <w:rFonts w:cs="Poppins"/>
            <w:szCs w:val="20"/>
          </w:rPr>
          <w:t>released</w:t>
        </w:r>
      </w:hyperlink>
      <w:r w:rsidRPr="00624E9D">
        <w:rPr>
          <w:rFonts w:cs="Poppins"/>
          <w:szCs w:val="20"/>
        </w:rPr>
        <w:t xml:space="preserve"> a fact sheet on the relationship between stimulant misuse and fatal fentanyl overdoses. Stimulant misuse including use of cocaine, methamphetamine, and misuse of prescription stimulants rose 8.63% from 2021 to 2022. At the same time, the rate of fatal overdoses involving a stimulant increased 32%. Concurrent opioid and stimulant use increase an individual’s overdose risk, especially among those who use stimulants but do not frequently use opioids. PEW encourages health care professionals to screen for stimulant misuse, treat stimulant use disorder with contingency management behavioral therapy, and promote harm reduction measures. </w:t>
      </w:r>
    </w:p>
    <w:p w14:paraId="32997099" w14:textId="77777777" w:rsidR="007475C0" w:rsidRPr="00500ECF" w:rsidRDefault="007475C0" w:rsidP="00C543D9">
      <w:pPr>
        <w:spacing w:after="0" w:line="240" w:lineRule="auto"/>
        <w:rPr>
          <w:rFonts w:cs="Poppins"/>
          <w:szCs w:val="20"/>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r w:rsidRPr="000C35CD">
        <w:rPr>
          <w:rFonts w:ascii="Poppins SemiBold" w:hAnsi="Poppins SemiBold" w:cs="Poppins SemiBold"/>
          <w:sz w:val="32"/>
          <w:szCs w:val="16"/>
        </w:rPr>
        <w:t>What’s on Tap</w:t>
      </w:r>
    </w:p>
    <w:p w14:paraId="0F3BC957" w14:textId="77777777" w:rsidR="007457BD" w:rsidRPr="007457BD" w:rsidRDefault="007457BD" w:rsidP="007457BD">
      <w:pPr>
        <w:pStyle w:val="ListParagraph"/>
        <w:numPr>
          <w:ilvl w:val="0"/>
          <w:numId w:val="27"/>
        </w:numPr>
        <w:pBdr>
          <w:top w:val="nil"/>
          <w:left w:val="nil"/>
          <w:bottom w:val="nil"/>
          <w:right w:val="nil"/>
          <w:between w:val="nil"/>
        </w:pBdr>
        <w:rPr>
          <w:rFonts w:eastAsia="Calibri" w:cs="Poppins"/>
          <w:bCs/>
          <w:color w:val="000000"/>
          <w:szCs w:val="20"/>
        </w:rPr>
      </w:pPr>
      <w:r w:rsidRPr="007457BD">
        <w:rPr>
          <w:rFonts w:eastAsia="Calibri" w:cs="Poppins"/>
          <w:bCs/>
          <w:color w:val="000000"/>
          <w:szCs w:val="20"/>
        </w:rPr>
        <w:t>Both the Senate and House have left for their summer recess and will return September 9</w:t>
      </w:r>
      <w:r w:rsidRPr="007457BD">
        <w:rPr>
          <w:rFonts w:eastAsia="Calibri" w:cs="Poppins"/>
          <w:bCs/>
          <w:color w:val="000000"/>
          <w:szCs w:val="20"/>
          <w:vertAlign w:val="superscript"/>
        </w:rPr>
        <w:t>th</w:t>
      </w:r>
      <w:r w:rsidRPr="007457BD">
        <w:rPr>
          <w:rFonts w:eastAsia="Calibri" w:cs="Poppins"/>
          <w:bCs/>
          <w:color w:val="000000"/>
          <w:szCs w:val="20"/>
        </w:rPr>
        <w:t>.</w:t>
      </w:r>
    </w:p>
    <w:p w14:paraId="03A7D677" w14:textId="77777777" w:rsidR="007457BD" w:rsidRPr="007457BD" w:rsidRDefault="007457BD" w:rsidP="007457BD">
      <w:pPr>
        <w:pStyle w:val="ListParagraph"/>
        <w:pBdr>
          <w:top w:val="nil"/>
          <w:left w:val="nil"/>
          <w:bottom w:val="nil"/>
          <w:right w:val="nil"/>
          <w:between w:val="nil"/>
        </w:pBdr>
        <w:rPr>
          <w:rFonts w:eastAsia="Calibri" w:cs="Poppins"/>
          <w:bCs/>
          <w:color w:val="000000"/>
          <w:szCs w:val="20"/>
        </w:rPr>
      </w:pPr>
    </w:p>
    <w:p w14:paraId="58DB4E1F" w14:textId="77777777" w:rsidR="007457BD" w:rsidRPr="007457BD" w:rsidRDefault="007457BD" w:rsidP="007457BD">
      <w:pPr>
        <w:pStyle w:val="ListParagraph"/>
        <w:numPr>
          <w:ilvl w:val="0"/>
          <w:numId w:val="27"/>
        </w:numPr>
        <w:pBdr>
          <w:top w:val="nil"/>
          <w:left w:val="nil"/>
          <w:bottom w:val="nil"/>
          <w:right w:val="nil"/>
          <w:between w:val="nil"/>
        </w:pBdr>
        <w:rPr>
          <w:rFonts w:eastAsia="Calibri" w:cs="Poppins"/>
          <w:bCs/>
          <w:color w:val="000000"/>
          <w:szCs w:val="20"/>
        </w:rPr>
      </w:pPr>
      <w:r w:rsidRPr="007457BD">
        <w:rPr>
          <w:rFonts w:eastAsia="Calibri" w:cs="Poppins"/>
          <w:bCs/>
          <w:color w:val="000000"/>
          <w:szCs w:val="20"/>
        </w:rPr>
        <w:t xml:space="preserve">Last week, the Biden administration </w:t>
      </w:r>
      <w:hyperlink r:id="rId26" w:history="1">
        <w:r w:rsidRPr="007457BD">
          <w:rPr>
            <w:rStyle w:val="Hyperlink"/>
            <w:rFonts w:eastAsia="Calibri" w:cs="Poppins"/>
            <w:bCs/>
            <w:szCs w:val="20"/>
          </w:rPr>
          <w:t>released</w:t>
        </w:r>
      </w:hyperlink>
      <w:r w:rsidRPr="007457BD">
        <w:rPr>
          <w:rFonts w:eastAsia="Calibri" w:cs="Poppins"/>
          <w:bCs/>
          <w:color w:val="000000"/>
          <w:szCs w:val="20"/>
        </w:rPr>
        <w:t xml:space="preserve"> the first set of negotiated Part D drug prices through the </w:t>
      </w:r>
      <w:hyperlink r:id="rId27" w:history="1">
        <w:r w:rsidRPr="007457BD">
          <w:rPr>
            <w:rStyle w:val="Hyperlink"/>
            <w:rFonts w:eastAsia="Calibri" w:cs="Poppins"/>
            <w:bCs/>
            <w:szCs w:val="20"/>
          </w:rPr>
          <w:t>Medicare Drug Price Negotiation Program</w:t>
        </w:r>
      </w:hyperlink>
      <w:r w:rsidRPr="007457BD">
        <w:rPr>
          <w:rFonts w:eastAsia="Calibri" w:cs="Poppins"/>
          <w:bCs/>
          <w:color w:val="000000"/>
          <w:szCs w:val="20"/>
        </w:rPr>
        <w:t>. The Centers for Medicare and Medicaid Services (CMS) under the Department of Health and Human Services (HHS) unveiled this list, following the provisions of the Inflation Reduction Act signed in 2022. This legislation allowed Medicare to negotiate prices for high-cost, single-source drugs without generics or biosimilars. In August 2023, CMS announced the initial 10 drugs selected for price negotiations, chosen based on legal eligibility, total gross cost, and the likelihood of generics or biosimilars entering the market.</w:t>
      </w:r>
    </w:p>
    <w:p w14:paraId="7050F29F" w14:textId="77777777" w:rsidR="007457BD" w:rsidRPr="007457BD" w:rsidRDefault="007457BD" w:rsidP="007457BD">
      <w:pPr>
        <w:pStyle w:val="ListParagraph"/>
        <w:pBdr>
          <w:top w:val="nil"/>
          <w:left w:val="nil"/>
          <w:bottom w:val="nil"/>
          <w:right w:val="nil"/>
          <w:between w:val="nil"/>
        </w:pBdr>
        <w:rPr>
          <w:rFonts w:eastAsia="Calibri" w:cs="Poppins"/>
          <w:bCs/>
          <w:color w:val="000000"/>
          <w:szCs w:val="20"/>
        </w:rPr>
      </w:pPr>
    </w:p>
    <w:p w14:paraId="14D9F718" w14:textId="4336A4FA" w:rsidR="007457BD" w:rsidRPr="007457BD" w:rsidRDefault="007457BD" w:rsidP="007457BD">
      <w:pPr>
        <w:pStyle w:val="ListParagraph"/>
        <w:numPr>
          <w:ilvl w:val="0"/>
          <w:numId w:val="27"/>
        </w:numPr>
        <w:pBdr>
          <w:top w:val="nil"/>
          <w:left w:val="nil"/>
          <w:bottom w:val="nil"/>
          <w:right w:val="nil"/>
          <w:between w:val="nil"/>
        </w:pBdr>
        <w:rPr>
          <w:rFonts w:eastAsia="Calibri" w:cs="Poppins"/>
          <w:bCs/>
          <w:color w:val="000000"/>
          <w:szCs w:val="20"/>
        </w:rPr>
      </w:pPr>
      <w:r w:rsidRPr="007457BD">
        <w:rPr>
          <w:rFonts w:eastAsia="Calibri" w:cs="Poppins"/>
          <w:bCs/>
          <w:color w:val="000000"/>
          <w:szCs w:val="20"/>
        </w:rPr>
        <w:t xml:space="preserve">Through negotiations with manufacturers, CMS achieved price reductions of 38%-79% from the 2023 list prices. These 10 drugs were used by 8.8 million Medicare beneficiaries in 2023. By 2026, CMS expects these prices to save beneficiaries $1.5 billion. The negotiated prices, referred to as Maximum Fair Prices (MFPs), will take effect on January 1, 2026. However, several manufacturers involved in the negotiation process are </w:t>
      </w:r>
      <w:hyperlink r:id="rId28" w:history="1">
        <w:r w:rsidRPr="007457BD">
          <w:rPr>
            <w:rStyle w:val="Hyperlink"/>
            <w:rFonts w:eastAsia="Calibri" w:cs="Poppins"/>
            <w:bCs/>
            <w:szCs w:val="20"/>
          </w:rPr>
          <w:t>challenging</w:t>
        </w:r>
      </w:hyperlink>
      <w:r w:rsidRPr="007457BD">
        <w:rPr>
          <w:rFonts w:eastAsia="Calibri" w:cs="Poppins"/>
          <w:bCs/>
          <w:color w:val="000000"/>
          <w:szCs w:val="20"/>
        </w:rPr>
        <w:t xml:space="preserve"> the program's constitutionality in court. While many of these lawsuits have been dismissed, there remains a possibility that the issue could reach the Supreme Court.</w:t>
      </w:r>
    </w:p>
    <w:p w14:paraId="6E33AE76" w14:textId="77777777" w:rsidR="007457BD" w:rsidRDefault="007457BD" w:rsidP="007457BD">
      <w:pPr>
        <w:pStyle w:val="ListParagraph"/>
        <w:pBdr>
          <w:top w:val="nil"/>
          <w:left w:val="nil"/>
          <w:bottom w:val="nil"/>
          <w:right w:val="nil"/>
          <w:between w:val="nil"/>
        </w:pBdr>
        <w:rPr>
          <w:rFonts w:eastAsia="Calibri" w:cs="Poppins"/>
          <w:bCs/>
          <w:color w:val="000000"/>
          <w:szCs w:val="20"/>
        </w:rPr>
      </w:pPr>
    </w:p>
    <w:p w14:paraId="1E1F2513" w14:textId="2263EACE" w:rsidR="007457BD" w:rsidRPr="007457BD" w:rsidRDefault="007457BD" w:rsidP="007457BD">
      <w:pPr>
        <w:pStyle w:val="ListParagraph"/>
        <w:numPr>
          <w:ilvl w:val="0"/>
          <w:numId w:val="27"/>
        </w:numPr>
        <w:pBdr>
          <w:top w:val="nil"/>
          <w:left w:val="nil"/>
          <w:bottom w:val="nil"/>
          <w:right w:val="nil"/>
          <w:between w:val="nil"/>
        </w:pBdr>
        <w:rPr>
          <w:rFonts w:eastAsia="Calibri" w:cs="Poppins"/>
          <w:bCs/>
          <w:color w:val="000000"/>
          <w:szCs w:val="20"/>
        </w:rPr>
      </w:pPr>
      <w:r w:rsidRPr="007457BD">
        <w:rPr>
          <w:rFonts w:eastAsia="Calibri" w:cs="Poppins"/>
          <w:bCs/>
          <w:color w:val="000000"/>
          <w:szCs w:val="20"/>
        </w:rPr>
        <w:t xml:space="preserve">The </w:t>
      </w:r>
      <w:hyperlink r:id="rId29" w:history="1">
        <w:r w:rsidRPr="007457BD">
          <w:rPr>
            <w:rStyle w:val="Hyperlink"/>
            <w:rFonts w:eastAsia="Calibri" w:cs="Poppins"/>
            <w:bCs/>
            <w:szCs w:val="20"/>
          </w:rPr>
          <w:t>Democratic National Convention</w:t>
        </w:r>
      </w:hyperlink>
      <w:r w:rsidRPr="007457BD">
        <w:rPr>
          <w:rFonts w:eastAsia="Calibri" w:cs="Poppins"/>
          <w:bCs/>
          <w:color w:val="000000"/>
          <w:szCs w:val="20"/>
        </w:rPr>
        <w:t xml:space="preserve"> begins today, Monday, August 19th, in Chicago, where Kamala Harris is set to be officially recognized as the Democratic nomination for President. As she transitions from Vice President to the presidential candidate, Harris has been gradually introducing policy proposals and is expected to further outline her platform with Vice Presidential nominee Tim Walz, Governor of Minnesota, at the Convention. Key topics of interest include the economy, immigration, health care, and both domestic and foreign policy, with particular attention on how Harris's campaign will align with or diverge from President Biden’s platform.</w:t>
      </w:r>
    </w:p>
    <w:p w14:paraId="4083252F" w14:textId="70628957" w:rsidR="00E17D68" w:rsidRPr="007457BD" w:rsidRDefault="00E17D68" w:rsidP="007457BD">
      <w:pPr>
        <w:spacing w:after="240"/>
        <w:ind w:left="360"/>
        <w:rPr>
          <w:rFonts w:eastAsiaTheme="minorEastAsia" w:cs="Poppins"/>
          <w:color w:val="000000" w:themeColor="text1"/>
          <w:szCs w:val="20"/>
        </w:rPr>
      </w:pPr>
    </w:p>
    <w:p w14:paraId="068C2106" w14:textId="77777777" w:rsidR="005777A8" w:rsidRPr="007457BD" w:rsidRDefault="005777A8" w:rsidP="005777A8">
      <w:pPr>
        <w:spacing w:after="240"/>
        <w:rPr>
          <w:rFonts w:eastAsiaTheme="minorEastAsia" w:cs="Poppins"/>
          <w:color w:val="000000" w:themeColor="text1"/>
          <w:szCs w:val="20"/>
        </w:rPr>
      </w:pPr>
    </w:p>
    <w:p w14:paraId="2D79E252" w14:textId="77777777" w:rsidR="005777A8" w:rsidRPr="007457BD" w:rsidRDefault="005777A8" w:rsidP="005777A8">
      <w:pPr>
        <w:spacing w:after="240"/>
        <w:rPr>
          <w:rFonts w:eastAsiaTheme="minorEastAsia" w:cs="Poppins"/>
          <w:color w:val="000000" w:themeColor="text1"/>
          <w:szCs w:val="20"/>
        </w:rPr>
      </w:pPr>
    </w:p>
    <w:p w14:paraId="7D72563E" w14:textId="77777777" w:rsidR="005777A8" w:rsidRPr="007457BD" w:rsidRDefault="005777A8" w:rsidP="005777A8">
      <w:pPr>
        <w:spacing w:after="240"/>
        <w:rPr>
          <w:rFonts w:eastAsiaTheme="minorEastAsia" w:cs="Poppins"/>
          <w:color w:val="000000" w:themeColor="text1"/>
          <w:szCs w:val="20"/>
        </w:rPr>
      </w:pPr>
    </w:p>
    <w:p w14:paraId="1BCD4CEF" w14:textId="77777777" w:rsidR="005777A8" w:rsidRPr="007457BD" w:rsidRDefault="005777A8" w:rsidP="005777A8">
      <w:pPr>
        <w:spacing w:after="240"/>
        <w:rPr>
          <w:rFonts w:eastAsiaTheme="minorEastAsia" w:cs="Poppins"/>
          <w:color w:val="000000" w:themeColor="text1"/>
          <w:szCs w:val="20"/>
        </w:rPr>
      </w:pPr>
    </w:p>
    <w:p w14:paraId="49BC6EB6" w14:textId="77777777" w:rsidR="005777A8" w:rsidRDefault="005777A8" w:rsidP="005777A8">
      <w:pPr>
        <w:spacing w:after="240"/>
        <w:rPr>
          <w:rFonts w:eastAsiaTheme="minorEastAsia" w:cs="Poppins"/>
          <w:color w:val="000000" w:themeColor="text1"/>
          <w:szCs w:val="18"/>
        </w:rPr>
      </w:pPr>
    </w:p>
    <w:p w14:paraId="3BF4475A" w14:textId="77777777" w:rsidR="00C32E81" w:rsidRDefault="00C32E81" w:rsidP="005777A8">
      <w:pPr>
        <w:spacing w:after="240"/>
        <w:rPr>
          <w:rFonts w:eastAsiaTheme="minorEastAsia" w:cs="Poppins"/>
          <w:color w:val="000000" w:themeColor="text1"/>
          <w:szCs w:val="18"/>
        </w:rPr>
      </w:pPr>
    </w:p>
    <w:p w14:paraId="3F9F2299" w14:textId="77777777" w:rsidR="00C32E81" w:rsidRDefault="00C32E81" w:rsidP="005777A8">
      <w:pPr>
        <w:spacing w:after="240"/>
        <w:rPr>
          <w:rFonts w:eastAsiaTheme="minorEastAsia" w:cs="Poppins"/>
          <w:color w:val="000000" w:themeColor="text1"/>
          <w:szCs w:val="18"/>
        </w:rPr>
      </w:pPr>
    </w:p>
    <w:p w14:paraId="15307838" w14:textId="77777777" w:rsidR="00C32E81" w:rsidRDefault="00C32E81" w:rsidP="005777A8">
      <w:pPr>
        <w:spacing w:after="240"/>
        <w:rPr>
          <w:rFonts w:eastAsiaTheme="minorEastAsia" w:cs="Poppins"/>
          <w:color w:val="000000" w:themeColor="text1"/>
          <w:szCs w:val="18"/>
        </w:rPr>
      </w:pPr>
    </w:p>
    <w:p w14:paraId="5914B5DF" w14:textId="77777777" w:rsidR="00C32E81" w:rsidRPr="005554AE" w:rsidRDefault="00C32E81" w:rsidP="005777A8">
      <w:pPr>
        <w:spacing w:after="240"/>
        <w:rPr>
          <w:rFonts w:eastAsiaTheme="minorEastAsia" w:cs="Poppins"/>
          <w:color w:val="000000" w:themeColor="text1"/>
          <w:szCs w:val="18"/>
        </w:rPr>
      </w:pPr>
    </w:p>
    <w:p w14:paraId="09C713F1" w14:textId="363D11E2" w:rsidR="00CD4912" w:rsidRDefault="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44D2DCCD">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p>
    <w:sectPr w:rsidR="00CD4912" w:rsidSect="00226ACA">
      <w:headerReference w:type="default" r:id="rId32"/>
      <w:footerReference w:type="default" r:id="rId33"/>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9DAE6" w14:textId="77777777" w:rsidR="009A5BED" w:rsidRDefault="009A5BED">
      <w:pPr>
        <w:spacing w:after="0" w:line="240" w:lineRule="auto"/>
      </w:pPr>
      <w:r>
        <w:separator/>
      </w:r>
    </w:p>
  </w:endnote>
  <w:endnote w:type="continuationSeparator" w:id="0">
    <w:p w14:paraId="632CD204" w14:textId="77777777" w:rsidR="009A5BED" w:rsidRDefault="009A5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altName w:val="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50F89"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38C01" w14:textId="77777777" w:rsidR="009A5BED" w:rsidRDefault="009A5BED">
      <w:pPr>
        <w:spacing w:after="0" w:line="240" w:lineRule="auto"/>
      </w:pPr>
      <w:r>
        <w:separator/>
      </w:r>
    </w:p>
  </w:footnote>
  <w:footnote w:type="continuationSeparator" w:id="0">
    <w:p w14:paraId="10DB687E" w14:textId="77777777" w:rsidR="009A5BED" w:rsidRDefault="009A5B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26"/>
  </w:num>
  <w:num w:numId="2" w16cid:durableId="127743416">
    <w:abstractNumId w:val="23"/>
  </w:num>
  <w:num w:numId="3" w16cid:durableId="1916818253">
    <w:abstractNumId w:val="24"/>
  </w:num>
  <w:num w:numId="4" w16cid:durableId="1562860064">
    <w:abstractNumId w:val="14"/>
  </w:num>
  <w:num w:numId="5" w16cid:durableId="747187781">
    <w:abstractNumId w:val="20"/>
  </w:num>
  <w:num w:numId="6" w16cid:durableId="360473614">
    <w:abstractNumId w:val="11"/>
  </w:num>
  <w:num w:numId="7" w16cid:durableId="2074813228">
    <w:abstractNumId w:val="21"/>
  </w:num>
  <w:num w:numId="8" w16cid:durableId="612904506">
    <w:abstractNumId w:val="5"/>
  </w:num>
  <w:num w:numId="9" w16cid:durableId="941183654">
    <w:abstractNumId w:val="22"/>
  </w:num>
  <w:num w:numId="10" w16cid:durableId="916745150">
    <w:abstractNumId w:val="12"/>
  </w:num>
  <w:num w:numId="11" w16cid:durableId="1211113321">
    <w:abstractNumId w:val="13"/>
  </w:num>
  <w:num w:numId="12" w16cid:durableId="444888970">
    <w:abstractNumId w:val="16"/>
  </w:num>
  <w:num w:numId="13" w16cid:durableId="1860123175">
    <w:abstractNumId w:val="7"/>
  </w:num>
  <w:num w:numId="14" w16cid:durableId="31660070">
    <w:abstractNumId w:val="10"/>
  </w:num>
  <w:num w:numId="15" w16cid:durableId="1157381680">
    <w:abstractNumId w:val="25"/>
  </w:num>
  <w:num w:numId="16" w16cid:durableId="2024474500">
    <w:abstractNumId w:val="2"/>
  </w:num>
  <w:num w:numId="17" w16cid:durableId="158468993">
    <w:abstractNumId w:val="15"/>
  </w:num>
  <w:num w:numId="18" w16cid:durableId="51200545">
    <w:abstractNumId w:val="0"/>
  </w:num>
  <w:num w:numId="19" w16cid:durableId="821049104">
    <w:abstractNumId w:val="3"/>
  </w:num>
  <w:num w:numId="20" w16cid:durableId="1487672424">
    <w:abstractNumId w:val="8"/>
  </w:num>
  <w:num w:numId="21" w16cid:durableId="1602059276">
    <w:abstractNumId w:val="4"/>
  </w:num>
  <w:num w:numId="22" w16cid:durableId="47806563">
    <w:abstractNumId w:val="6"/>
  </w:num>
  <w:num w:numId="23" w16cid:durableId="305356633">
    <w:abstractNumId w:val="19"/>
  </w:num>
  <w:num w:numId="24" w16cid:durableId="678628084">
    <w:abstractNumId w:val="17"/>
  </w:num>
  <w:num w:numId="25" w16cid:durableId="1807039519">
    <w:abstractNumId w:val="9"/>
  </w:num>
  <w:num w:numId="26" w16cid:durableId="106318828">
    <w:abstractNumId w:val="18"/>
  </w:num>
  <w:num w:numId="27" w16cid:durableId="705638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6379"/>
    <w:rsid w:val="0005263B"/>
    <w:rsid w:val="00052649"/>
    <w:rsid w:val="00067BCD"/>
    <w:rsid w:val="000712FF"/>
    <w:rsid w:val="000C35CD"/>
    <w:rsid w:val="000C5BE3"/>
    <w:rsid w:val="001139FB"/>
    <w:rsid w:val="0011568D"/>
    <w:rsid w:val="00120C4B"/>
    <w:rsid w:val="0012379B"/>
    <w:rsid w:val="00126FE3"/>
    <w:rsid w:val="00133E00"/>
    <w:rsid w:val="001371D5"/>
    <w:rsid w:val="00141BD7"/>
    <w:rsid w:val="0015610B"/>
    <w:rsid w:val="00170AD9"/>
    <w:rsid w:val="00171D37"/>
    <w:rsid w:val="001903AC"/>
    <w:rsid w:val="00193422"/>
    <w:rsid w:val="001969C9"/>
    <w:rsid w:val="001A4A3F"/>
    <w:rsid w:val="001D4903"/>
    <w:rsid w:val="00220477"/>
    <w:rsid w:val="00226ACA"/>
    <w:rsid w:val="00266E15"/>
    <w:rsid w:val="00273583"/>
    <w:rsid w:val="0027672E"/>
    <w:rsid w:val="002826A6"/>
    <w:rsid w:val="00286B7D"/>
    <w:rsid w:val="00295944"/>
    <w:rsid w:val="002E1270"/>
    <w:rsid w:val="002E15F2"/>
    <w:rsid w:val="002F004A"/>
    <w:rsid w:val="00310E21"/>
    <w:rsid w:val="00330820"/>
    <w:rsid w:val="00357A9C"/>
    <w:rsid w:val="00390A90"/>
    <w:rsid w:val="003C28F2"/>
    <w:rsid w:val="003D5D0C"/>
    <w:rsid w:val="00405BFA"/>
    <w:rsid w:val="00443633"/>
    <w:rsid w:val="00451283"/>
    <w:rsid w:val="0046695A"/>
    <w:rsid w:val="0047795D"/>
    <w:rsid w:val="004B29FC"/>
    <w:rsid w:val="004C7BB5"/>
    <w:rsid w:val="004D15B9"/>
    <w:rsid w:val="004D16A4"/>
    <w:rsid w:val="004F260C"/>
    <w:rsid w:val="004F700C"/>
    <w:rsid w:val="005000B1"/>
    <w:rsid w:val="00500ECF"/>
    <w:rsid w:val="00540E02"/>
    <w:rsid w:val="005418D5"/>
    <w:rsid w:val="005554AE"/>
    <w:rsid w:val="005777A8"/>
    <w:rsid w:val="005828B4"/>
    <w:rsid w:val="005A6EEF"/>
    <w:rsid w:val="005C43DF"/>
    <w:rsid w:val="00606A05"/>
    <w:rsid w:val="00612F79"/>
    <w:rsid w:val="00614EFF"/>
    <w:rsid w:val="00615D8C"/>
    <w:rsid w:val="00624E9D"/>
    <w:rsid w:val="006258FD"/>
    <w:rsid w:val="00656DE9"/>
    <w:rsid w:val="00657D1D"/>
    <w:rsid w:val="006622DA"/>
    <w:rsid w:val="006710C0"/>
    <w:rsid w:val="00686BDF"/>
    <w:rsid w:val="006B6E77"/>
    <w:rsid w:val="0071082E"/>
    <w:rsid w:val="0072131F"/>
    <w:rsid w:val="00733CC7"/>
    <w:rsid w:val="00736378"/>
    <w:rsid w:val="00742A7E"/>
    <w:rsid w:val="007457BD"/>
    <w:rsid w:val="007475C0"/>
    <w:rsid w:val="0075315A"/>
    <w:rsid w:val="00754D4E"/>
    <w:rsid w:val="00791F13"/>
    <w:rsid w:val="00797007"/>
    <w:rsid w:val="007A1522"/>
    <w:rsid w:val="007C09BF"/>
    <w:rsid w:val="007E4E3A"/>
    <w:rsid w:val="007E63EA"/>
    <w:rsid w:val="00814EEF"/>
    <w:rsid w:val="008565CE"/>
    <w:rsid w:val="00882C7E"/>
    <w:rsid w:val="008A1F3D"/>
    <w:rsid w:val="008A46E3"/>
    <w:rsid w:val="008A5D11"/>
    <w:rsid w:val="008C4D88"/>
    <w:rsid w:val="008C52D4"/>
    <w:rsid w:val="008E496E"/>
    <w:rsid w:val="00952320"/>
    <w:rsid w:val="0096120A"/>
    <w:rsid w:val="009A0A17"/>
    <w:rsid w:val="009A5BED"/>
    <w:rsid w:val="009D03D3"/>
    <w:rsid w:val="009D4885"/>
    <w:rsid w:val="009E143A"/>
    <w:rsid w:val="009E754B"/>
    <w:rsid w:val="00A106A5"/>
    <w:rsid w:val="00A34162"/>
    <w:rsid w:val="00A66668"/>
    <w:rsid w:val="00A73302"/>
    <w:rsid w:val="00A97B81"/>
    <w:rsid w:val="00AA24EE"/>
    <w:rsid w:val="00AC375B"/>
    <w:rsid w:val="00B17242"/>
    <w:rsid w:val="00B257B0"/>
    <w:rsid w:val="00B33654"/>
    <w:rsid w:val="00B36B2C"/>
    <w:rsid w:val="00B52071"/>
    <w:rsid w:val="00B712E4"/>
    <w:rsid w:val="00B85121"/>
    <w:rsid w:val="00B9262A"/>
    <w:rsid w:val="00B92E39"/>
    <w:rsid w:val="00BA2D7E"/>
    <w:rsid w:val="00BA4207"/>
    <w:rsid w:val="00BC67B5"/>
    <w:rsid w:val="00BD277B"/>
    <w:rsid w:val="00BD3602"/>
    <w:rsid w:val="00BD400A"/>
    <w:rsid w:val="00BE2FE6"/>
    <w:rsid w:val="00BF35ED"/>
    <w:rsid w:val="00C01848"/>
    <w:rsid w:val="00C24621"/>
    <w:rsid w:val="00C32E81"/>
    <w:rsid w:val="00C543D9"/>
    <w:rsid w:val="00C6549F"/>
    <w:rsid w:val="00C65C71"/>
    <w:rsid w:val="00C9682A"/>
    <w:rsid w:val="00CA3842"/>
    <w:rsid w:val="00CB3B30"/>
    <w:rsid w:val="00CD08CB"/>
    <w:rsid w:val="00CD4912"/>
    <w:rsid w:val="00CF61A3"/>
    <w:rsid w:val="00CF680F"/>
    <w:rsid w:val="00D11B23"/>
    <w:rsid w:val="00D31D3B"/>
    <w:rsid w:val="00D331DD"/>
    <w:rsid w:val="00D726C0"/>
    <w:rsid w:val="00DA483A"/>
    <w:rsid w:val="00E007ED"/>
    <w:rsid w:val="00E17D68"/>
    <w:rsid w:val="00E33A26"/>
    <w:rsid w:val="00E609D1"/>
    <w:rsid w:val="00E756C7"/>
    <w:rsid w:val="00E76838"/>
    <w:rsid w:val="00E83686"/>
    <w:rsid w:val="00EB3B75"/>
    <w:rsid w:val="00EC0A64"/>
    <w:rsid w:val="00EC72B9"/>
    <w:rsid w:val="00EF1D87"/>
    <w:rsid w:val="00F00E34"/>
    <w:rsid w:val="00F15D36"/>
    <w:rsid w:val="00F2297C"/>
    <w:rsid w:val="00F3386B"/>
    <w:rsid w:val="00F34182"/>
    <w:rsid w:val="00F53332"/>
    <w:rsid w:val="00F53A3C"/>
    <w:rsid w:val="00F54C3A"/>
    <w:rsid w:val="00F566BA"/>
    <w:rsid w:val="00F57DAC"/>
    <w:rsid w:val="00F6455D"/>
    <w:rsid w:val="00F87569"/>
    <w:rsid w:val="00FC1952"/>
    <w:rsid w:val="00FE6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althsperien.us19.list-manage.com/track/click?u=b80803827ec1d826bd16eace6&amp;id=d1c88b7d40&amp;e=02f9a79650" TargetMode="External"/><Relationship Id="rId18" Type="http://schemas.openxmlformats.org/officeDocument/2006/relationships/hyperlink" Target="https://healthsperien.us19.list-manage.com/track/click?u=b80803827ec1d826bd16eace6&amp;id=1b250e943c&amp;e=02f9a79650" TargetMode="External"/><Relationship Id="rId26" Type="http://schemas.openxmlformats.org/officeDocument/2006/relationships/hyperlink" Target="https://www.cms.gov/newsroom/fact-sheets/medicare-drug-price-negotiation-program-negotiated-prices-initial-price-applicability-year-2026" TargetMode="External"/><Relationship Id="rId3" Type="http://schemas.openxmlformats.org/officeDocument/2006/relationships/settings" Target="settings.xml"/><Relationship Id="rId21" Type="http://schemas.openxmlformats.org/officeDocument/2006/relationships/hyperlink" Target="https://healthsperien.us19.list-manage.com/track/click?u=b80803827ec1d826bd16eace6&amp;id=6e83d02bcd&amp;e=02f9a79650"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healthsperien.us19.list-manage.com/track/click?u=b80803827ec1d826bd16eace6&amp;id=017b25f3ba&amp;e=02f9a79650" TargetMode="External"/><Relationship Id="rId17" Type="http://schemas.openxmlformats.org/officeDocument/2006/relationships/hyperlink" Target="https://healthsperien.us19.list-manage.com/track/click?u=b80803827ec1d826bd16eace6&amp;id=7fa75b04c6&amp;e=02f9a79650" TargetMode="External"/><Relationship Id="rId25" Type="http://schemas.openxmlformats.org/officeDocument/2006/relationships/hyperlink" Target="https://healthsperien.us19.list-manage.com/track/click?u=b80803827ec1d826bd16eace6&amp;id=94a0df46ab&amp;e=02f9a79650"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ealthsperien.us19.list-manage.com/track/click?u=b80803827ec1d826bd16eace6&amp;id=b463370731&amp;e=02f9a79650" TargetMode="External"/><Relationship Id="rId20" Type="http://schemas.openxmlformats.org/officeDocument/2006/relationships/hyperlink" Target="https://healthsperien.us19.list-manage.com/track/click?u=b80803827ec1d826bd16eace6&amp;id=7689c88b94&amp;e=02f9a79650" TargetMode="External"/><Relationship Id="rId29" Type="http://schemas.openxmlformats.org/officeDocument/2006/relationships/hyperlink" Target="https://demconvention.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sperien.us19.list-manage.com/track/click?u=b80803827ec1d826bd16eace6&amp;id=efa4141e6a&amp;e=02f9a79650" TargetMode="External"/><Relationship Id="rId24" Type="http://schemas.openxmlformats.org/officeDocument/2006/relationships/hyperlink" Target="https://healthsperien.us19.list-manage.com/track/click?u=b80803827ec1d826bd16eace6&amp;id=8e0bf76c8c&amp;e=02f9a79650"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healthsperien.us19.list-manage.com/track/click?u=b80803827ec1d826bd16eace6&amp;id=f2bd898e07&amp;e=02f9a79650" TargetMode="External"/><Relationship Id="rId23" Type="http://schemas.openxmlformats.org/officeDocument/2006/relationships/hyperlink" Target="https://healthsperien.us19.list-manage.com/track/click?u=b80803827ec1d826bd16eace6&amp;id=255f01f251&amp;e=02f9a79650" TargetMode="External"/><Relationship Id="rId28" Type="http://schemas.openxmlformats.org/officeDocument/2006/relationships/hyperlink" Target="https://litigationtracker.law.georgetown.edu/issues/inflation-reduction-act/" TargetMode="External"/><Relationship Id="rId10" Type="http://schemas.openxmlformats.org/officeDocument/2006/relationships/hyperlink" Target="https://healthsperien.us19.list-manage.com/track/click?u=b80803827ec1d826bd16eace6&amp;id=8a37fa3a10&amp;e=02f9a79650" TargetMode="External"/><Relationship Id="rId19" Type="http://schemas.openxmlformats.org/officeDocument/2006/relationships/hyperlink" Target="https://healthsperien.us19.list-manage.com/track/click?u=b80803827ec1d826bd16eace6&amp;id=9eb169f302&amp;e=02f9a79650"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blog.ssa.gov/social-security-expands-compassionate-allowances-list-expedites-decisions-for-people-with-severe-disabilities/?utm_medium=email&amp;utm_source=govdelivery" TargetMode="External"/><Relationship Id="rId14" Type="http://schemas.openxmlformats.org/officeDocument/2006/relationships/hyperlink" Target="https://healthsperien.us19.list-manage.com/track/click?u=b80803827ec1d826bd16eace6&amp;id=f8e90893b5&amp;e=02f9a79650" TargetMode="External"/><Relationship Id="rId22" Type="http://schemas.openxmlformats.org/officeDocument/2006/relationships/hyperlink" Target="https://healthsperien.us19.list-manage.com/track/click?u=b80803827ec1d826bd16eace6&amp;id=ceb1d061ab&amp;e=02f9a79650" TargetMode="External"/><Relationship Id="rId27" Type="http://schemas.openxmlformats.org/officeDocument/2006/relationships/hyperlink" Target="https://www.cms.gov/inflation-reduction-act-and-medicare/medicare-drug-price-negotiation" TargetMode="External"/><Relationship Id="rId30" Type="http://schemas.openxmlformats.org/officeDocument/2006/relationships/image" Target="media/image2.jpeg"/><Relationship Id="rId35" Type="http://schemas.openxmlformats.org/officeDocument/2006/relationships/theme" Target="theme/theme1.xml"/><Relationship Id="rId8" Type="http://schemas.openxmlformats.org/officeDocument/2006/relationships/hyperlink" Target="https://healthsperien.us19.list-manage.com/track/click?u=b80803827ec1d826bd16eace6&amp;id=469111c13d&amp;e=02f9a79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2244</Words>
  <Characters>12793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2024-08-21T19:56:00Z</dcterms:created>
  <dcterms:modified xsi:type="dcterms:W3CDTF">2024-08-21T19:56:00Z</dcterms:modified>
</cp:coreProperties>
</file>