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3FAA5" w14:textId="058D5634" w:rsidR="00715EA6" w:rsidRPr="006C4838" w:rsidRDefault="00715EA6" w:rsidP="00AF75C5">
      <w:pPr>
        <w:pStyle w:val="Heading1"/>
        <w:spacing w:before="320" w:after="0"/>
        <w:rPr>
          <w:rFonts w:ascii="Poppins SemiBold" w:hAnsi="Poppins SemiBold" w:cs="Poppins SemiBold"/>
          <w:b/>
          <w:bCs/>
          <w:noProof/>
          <w:color w:val="4472C4" w:themeColor="accent1"/>
          <w:sz w:val="32"/>
          <w:szCs w:val="32"/>
        </w:rPr>
      </w:pPr>
      <w:r w:rsidRPr="006C4838">
        <w:rPr>
          <w:rFonts w:ascii="Poppins SemiBold" w:hAnsi="Poppins SemiBold" w:cs="Poppins SemiBold"/>
          <w:b/>
          <w:bCs/>
          <w:noProof/>
          <w:color w:val="4472C4" w:themeColor="accent1"/>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A2343">
        <w:rPr>
          <w:rFonts w:ascii="Poppins SemiBold" w:hAnsi="Poppins SemiBold" w:cs="Poppins SemiBold"/>
          <w:b/>
          <w:bCs/>
          <w:noProof/>
          <w:color w:val="4472C4" w:themeColor="accent1"/>
          <w:sz w:val="32"/>
          <w:szCs w:val="32"/>
        </w:rPr>
        <w:t>August 1</w:t>
      </w:r>
      <w:r w:rsidR="0037189D">
        <w:rPr>
          <w:rFonts w:ascii="Poppins SemiBold" w:hAnsi="Poppins SemiBold" w:cs="Poppins SemiBold"/>
          <w:b/>
          <w:bCs/>
          <w:noProof/>
          <w:color w:val="4472C4" w:themeColor="accent1"/>
          <w:sz w:val="32"/>
          <w:szCs w:val="32"/>
        </w:rPr>
        <w:t>9</w:t>
      </w:r>
      <w:r w:rsidR="00DE3D45">
        <w:rPr>
          <w:rFonts w:ascii="Poppins SemiBold" w:hAnsi="Poppins SemiBold" w:cs="Poppins SemiBold"/>
          <w:b/>
          <w:bCs/>
          <w:noProof/>
          <w:color w:val="4472C4" w:themeColor="accent1"/>
          <w:sz w:val="32"/>
          <w:szCs w:val="32"/>
        </w:rPr>
        <w:t>, 2025</w:t>
      </w:r>
    </w:p>
    <w:p w14:paraId="2AF4133A" w14:textId="6D6CD8ED" w:rsidR="00EC3C6E" w:rsidRDefault="00FB453E" w:rsidP="00AF75C5">
      <w:pPr>
        <w:spacing w:before="240" w:after="0"/>
        <w:rPr>
          <w:rFonts w:ascii="Poppins SemiBold" w:hAnsi="Poppins SemiBold" w:cs="Poppins SemiBold"/>
          <w:b/>
          <w:bCs/>
          <w:color w:val="4472C4" w:themeColor="accent1"/>
          <w:sz w:val="24"/>
          <w:szCs w:val="24"/>
        </w:rPr>
      </w:pPr>
      <w:r>
        <w:rPr>
          <w:rFonts w:ascii="Poppins SemiBold" w:hAnsi="Poppins SemiBold" w:cs="Poppins SemiBold"/>
          <w:b/>
          <w:bCs/>
          <w:color w:val="4472C4" w:themeColor="accent1"/>
          <w:sz w:val="24"/>
          <w:szCs w:val="24"/>
        </w:rPr>
        <w:t>Missouri to Close 12 Schools for Students with Disabilities</w:t>
      </w:r>
    </w:p>
    <w:p w14:paraId="7C32253F" w14:textId="71A38BB6" w:rsidR="001B5460" w:rsidRDefault="00FB453E" w:rsidP="00AF75C5">
      <w:pPr>
        <w:spacing w:before="120" w:after="0"/>
        <w:rPr>
          <w:rFonts w:ascii="Poppins" w:hAnsi="Poppins" w:cs="Poppins"/>
          <w:sz w:val="20"/>
          <w:szCs w:val="20"/>
        </w:rPr>
      </w:pPr>
      <w:r>
        <w:rPr>
          <w:rFonts w:ascii="Poppins" w:hAnsi="Poppins" w:cs="Poppins"/>
          <w:sz w:val="20"/>
          <w:szCs w:val="20"/>
        </w:rPr>
        <w:t>On Tuesday August 12</w:t>
      </w:r>
      <w:r w:rsidRPr="00FB453E">
        <w:rPr>
          <w:rFonts w:ascii="Poppins" w:hAnsi="Poppins" w:cs="Poppins"/>
          <w:sz w:val="20"/>
          <w:szCs w:val="20"/>
          <w:vertAlign w:val="superscript"/>
        </w:rPr>
        <w:t>th</w:t>
      </w:r>
      <w:r>
        <w:rPr>
          <w:rFonts w:ascii="Poppins" w:hAnsi="Poppins" w:cs="Poppins"/>
          <w:sz w:val="20"/>
          <w:szCs w:val="20"/>
        </w:rPr>
        <w:t xml:space="preserve">, the Missouri State Board of Education </w:t>
      </w:r>
      <w:hyperlink r:id="rId8" w:history="1">
        <w:r w:rsidRPr="00054AF5">
          <w:rPr>
            <w:rStyle w:val="Hyperlink"/>
            <w:rFonts w:ascii="Poppins" w:hAnsi="Poppins" w:cs="Poppins"/>
            <w:sz w:val="20"/>
            <w:szCs w:val="20"/>
          </w:rPr>
          <w:t>approved</w:t>
        </w:r>
      </w:hyperlink>
      <w:r>
        <w:rPr>
          <w:rFonts w:ascii="Poppins" w:hAnsi="Poppins" w:cs="Poppins"/>
          <w:sz w:val="20"/>
          <w:szCs w:val="20"/>
        </w:rPr>
        <w:t xml:space="preserve"> a plan to close</w:t>
      </w:r>
      <w:r w:rsidR="00EB6B4C">
        <w:rPr>
          <w:rFonts w:ascii="Poppins" w:hAnsi="Poppins" w:cs="Poppins"/>
          <w:sz w:val="20"/>
          <w:szCs w:val="20"/>
        </w:rPr>
        <w:t xml:space="preserve"> all</w:t>
      </w:r>
      <w:r>
        <w:rPr>
          <w:rFonts w:ascii="Poppins" w:hAnsi="Poppins" w:cs="Poppins"/>
          <w:sz w:val="20"/>
          <w:szCs w:val="20"/>
        </w:rPr>
        <w:t xml:space="preserve"> 12 </w:t>
      </w:r>
      <w:r w:rsidR="00EB6B4C">
        <w:rPr>
          <w:rFonts w:ascii="Poppins" w:hAnsi="Poppins" w:cs="Poppins"/>
          <w:sz w:val="20"/>
          <w:szCs w:val="20"/>
        </w:rPr>
        <w:t xml:space="preserve">remaining </w:t>
      </w:r>
      <w:r>
        <w:rPr>
          <w:rFonts w:ascii="Poppins" w:hAnsi="Poppins" w:cs="Poppins"/>
          <w:sz w:val="20"/>
          <w:szCs w:val="20"/>
        </w:rPr>
        <w:t>schools for children with severe disabilities</w:t>
      </w:r>
      <w:r w:rsidR="00054AF5">
        <w:rPr>
          <w:rFonts w:ascii="Poppins" w:hAnsi="Poppins" w:cs="Poppins"/>
          <w:sz w:val="20"/>
          <w:szCs w:val="20"/>
        </w:rPr>
        <w:t xml:space="preserve"> </w:t>
      </w:r>
      <w:r w:rsidR="001F26D1">
        <w:rPr>
          <w:rFonts w:ascii="Poppins" w:hAnsi="Poppins" w:cs="Poppins"/>
          <w:sz w:val="20"/>
          <w:szCs w:val="20"/>
        </w:rPr>
        <w:t>so that all</w:t>
      </w:r>
      <w:r w:rsidR="005F1CA9">
        <w:rPr>
          <w:rFonts w:ascii="Poppins" w:hAnsi="Poppins" w:cs="Poppins"/>
          <w:sz w:val="20"/>
          <w:szCs w:val="20"/>
        </w:rPr>
        <w:t xml:space="preserve"> students wi</w:t>
      </w:r>
      <w:r w:rsidR="0014642A">
        <w:rPr>
          <w:rFonts w:ascii="Poppins" w:hAnsi="Poppins" w:cs="Poppins"/>
          <w:sz w:val="20"/>
          <w:szCs w:val="20"/>
        </w:rPr>
        <w:t xml:space="preserve">th learning disabilities </w:t>
      </w:r>
      <w:r w:rsidR="001F26D1">
        <w:rPr>
          <w:rFonts w:ascii="Poppins" w:hAnsi="Poppins" w:cs="Poppins"/>
          <w:sz w:val="20"/>
          <w:szCs w:val="20"/>
        </w:rPr>
        <w:t>would be integrated into</w:t>
      </w:r>
      <w:r w:rsidR="0014642A">
        <w:rPr>
          <w:rFonts w:ascii="Poppins" w:hAnsi="Poppins" w:cs="Poppins"/>
          <w:sz w:val="20"/>
          <w:szCs w:val="20"/>
        </w:rPr>
        <w:t xml:space="preserve"> </w:t>
      </w:r>
      <w:r w:rsidR="001F26D1">
        <w:rPr>
          <w:rFonts w:ascii="Poppins" w:hAnsi="Poppins" w:cs="Poppins"/>
          <w:sz w:val="20"/>
          <w:szCs w:val="20"/>
        </w:rPr>
        <w:t>general</w:t>
      </w:r>
      <w:r w:rsidR="0014642A">
        <w:rPr>
          <w:rFonts w:ascii="Poppins" w:hAnsi="Poppins" w:cs="Poppins"/>
          <w:sz w:val="20"/>
          <w:szCs w:val="20"/>
        </w:rPr>
        <w:t xml:space="preserve"> schools</w:t>
      </w:r>
      <w:r w:rsidR="001F26D1">
        <w:rPr>
          <w:rFonts w:ascii="Poppins" w:hAnsi="Poppins" w:cs="Poppins"/>
          <w:sz w:val="20"/>
          <w:szCs w:val="20"/>
        </w:rPr>
        <w:t xml:space="preserve"> starting next year. The State Board of Education did not address the Board of Education-run </w:t>
      </w:r>
      <w:r w:rsidR="009C4BFF">
        <w:rPr>
          <w:rFonts w:ascii="Poppins" w:hAnsi="Poppins" w:cs="Poppins"/>
          <w:sz w:val="20"/>
          <w:szCs w:val="20"/>
        </w:rPr>
        <w:t xml:space="preserve">Missouri Schools for the Severely Disabled Long Range Planning Advisory Committee </w:t>
      </w:r>
      <w:r w:rsidR="001F26D1">
        <w:rPr>
          <w:rFonts w:ascii="Poppins" w:hAnsi="Poppins" w:cs="Poppins"/>
          <w:sz w:val="20"/>
          <w:szCs w:val="20"/>
        </w:rPr>
        <w:t xml:space="preserve">recommendation to </w:t>
      </w:r>
      <w:r w:rsidR="009C4BFF">
        <w:rPr>
          <w:rFonts w:ascii="Poppins" w:hAnsi="Poppins" w:cs="Poppins"/>
          <w:sz w:val="20"/>
          <w:szCs w:val="20"/>
        </w:rPr>
        <w:t xml:space="preserve">consolidate </w:t>
      </w:r>
      <w:r w:rsidR="001F26D1">
        <w:rPr>
          <w:rFonts w:ascii="Poppins" w:hAnsi="Poppins" w:cs="Poppins"/>
          <w:sz w:val="20"/>
          <w:szCs w:val="20"/>
        </w:rPr>
        <w:t>services into</w:t>
      </w:r>
      <w:r w:rsidR="009C4BFF">
        <w:rPr>
          <w:rFonts w:ascii="Poppins" w:hAnsi="Poppins" w:cs="Poppins"/>
          <w:sz w:val="20"/>
          <w:szCs w:val="20"/>
        </w:rPr>
        <w:t xml:space="preserve"> 2 special education schools</w:t>
      </w:r>
      <w:r w:rsidR="0014642A">
        <w:rPr>
          <w:rFonts w:ascii="Poppins" w:hAnsi="Poppins" w:cs="Poppins"/>
          <w:sz w:val="20"/>
          <w:szCs w:val="20"/>
        </w:rPr>
        <w:t>.</w:t>
      </w:r>
      <w:r w:rsidR="00160A0B">
        <w:rPr>
          <w:rFonts w:ascii="Poppins" w:hAnsi="Poppins" w:cs="Poppins"/>
          <w:sz w:val="20"/>
          <w:szCs w:val="20"/>
        </w:rPr>
        <w:t xml:space="preserve"> </w:t>
      </w:r>
      <w:r w:rsidR="001F26D1">
        <w:rPr>
          <w:rFonts w:ascii="Poppins" w:hAnsi="Poppins" w:cs="Poppins"/>
          <w:sz w:val="20"/>
          <w:szCs w:val="20"/>
        </w:rPr>
        <w:t>Rather, t</w:t>
      </w:r>
      <w:r>
        <w:rPr>
          <w:rFonts w:ascii="Poppins" w:hAnsi="Poppins" w:cs="Poppins"/>
          <w:sz w:val="20"/>
          <w:szCs w:val="20"/>
        </w:rPr>
        <w:t xml:space="preserve">he </w:t>
      </w:r>
      <w:r w:rsidR="001F26D1">
        <w:rPr>
          <w:rFonts w:ascii="Poppins" w:hAnsi="Poppins" w:cs="Poppins"/>
          <w:sz w:val="20"/>
          <w:szCs w:val="20"/>
        </w:rPr>
        <w:t xml:space="preserve">State </w:t>
      </w:r>
      <w:r>
        <w:rPr>
          <w:rFonts w:ascii="Poppins" w:hAnsi="Poppins" w:cs="Poppins"/>
          <w:sz w:val="20"/>
          <w:szCs w:val="20"/>
        </w:rPr>
        <w:t xml:space="preserve">Board </w:t>
      </w:r>
      <w:r w:rsidR="001F26D1">
        <w:rPr>
          <w:rFonts w:ascii="Poppins" w:hAnsi="Poppins" w:cs="Poppins"/>
          <w:sz w:val="20"/>
          <w:szCs w:val="20"/>
        </w:rPr>
        <w:t>claimed</w:t>
      </w:r>
      <w:r w:rsidR="008766E6">
        <w:rPr>
          <w:rFonts w:ascii="Poppins" w:hAnsi="Poppins" w:cs="Poppins"/>
          <w:sz w:val="20"/>
          <w:szCs w:val="20"/>
        </w:rPr>
        <w:t xml:space="preserve"> the Missouri Schools for the Severely Disabled would be </w:t>
      </w:r>
      <w:r w:rsidR="0060533F">
        <w:rPr>
          <w:rFonts w:ascii="Poppins" w:hAnsi="Poppins" w:cs="Poppins"/>
          <w:sz w:val="20"/>
          <w:szCs w:val="20"/>
        </w:rPr>
        <w:t>closed</w:t>
      </w:r>
      <w:r w:rsidR="008766E6">
        <w:rPr>
          <w:rFonts w:ascii="Poppins" w:hAnsi="Poppins" w:cs="Poppins"/>
          <w:sz w:val="20"/>
          <w:szCs w:val="20"/>
        </w:rPr>
        <w:t xml:space="preserve"> due to</w:t>
      </w:r>
      <w:r>
        <w:rPr>
          <w:rFonts w:ascii="Poppins" w:hAnsi="Poppins" w:cs="Poppins"/>
          <w:sz w:val="20"/>
          <w:szCs w:val="20"/>
        </w:rPr>
        <w:t xml:space="preserve"> </w:t>
      </w:r>
      <w:r w:rsidR="001658A8">
        <w:rPr>
          <w:rFonts w:ascii="Poppins" w:hAnsi="Poppins" w:cs="Poppins"/>
          <w:sz w:val="20"/>
          <w:szCs w:val="20"/>
        </w:rPr>
        <w:t xml:space="preserve">enrollment reductions </w:t>
      </w:r>
      <w:r w:rsidR="0060533F">
        <w:rPr>
          <w:rFonts w:ascii="Poppins" w:hAnsi="Poppins" w:cs="Poppins"/>
          <w:sz w:val="20"/>
          <w:szCs w:val="20"/>
        </w:rPr>
        <w:t xml:space="preserve">of 36% </w:t>
      </w:r>
      <w:r w:rsidR="001658A8">
        <w:rPr>
          <w:rFonts w:ascii="Poppins" w:hAnsi="Poppins" w:cs="Poppins"/>
          <w:sz w:val="20"/>
          <w:szCs w:val="20"/>
        </w:rPr>
        <w:t xml:space="preserve">over the last 16 years, 50 million </w:t>
      </w:r>
      <w:r w:rsidR="001F26D1">
        <w:rPr>
          <w:rFonts w:ascii="Poppins" w:hAnsi="Poppins" w:cs="Poppins"/>
          <w:sz w:val="20"/>
          <w:szCs w:val="20"/>
        </w:rPr>
        <w:t xml:space="preserve">dollars </w:t>
      </w:r>
      <w:r w:rsidR="001658A8">
        <w:rPr>
          <w:rFonts w:ascii="Poppins" w:hAnsi="Poppins" w:cs="Poppins"/>
          <w:sz w:val="20"/>
          <w:szCs w:val="20"/>
        </w:rPr>
        <w:t xml:space="preserve">in deferred maintenance across </w:t>
      </w:r>
      <w:r w:rsidR="0060533F">
        <w:rPr>
          <w:rFonts w:ascii="Poppins" w:hAnsi="Poppins" w:cs="Poppins"/>
          <w:sz w:val="20"/>
          <w:szCs w:val="20"/>
        </w:rPr>
        <w:t xml:space="preserve">34 </w:t>
      </w:r>
      <w:r w:rsidR="001658A8">
        <w:rPr>
          <w:rFonts w:ascii="Poppins" w:hAnsi="Poppins" w:cs="Poppins"/>
          <w:sz w:val="20"/>
          <w:szCs w:val="20"/>
        </w:rPr>
        <w:t>schools</w:t>
      </w:r>
      <w:r w:rsidR="00C1213E">
        <w:rPr>
          <w:rFonts w:ascii="Poppins" w:hAnsi="Poppins" w:cs="Poppins"/>
          <w:sz w:val="20"/>
          <w:szCs w:val="20"/>
        </w:rPr>
        <w:t>,</w:t>
      </w:r>
      <w:r w:rsidR="001658A8">
        <w:rPr>
          <w:rFonts w:ascii="Poppins" w:hAnsi="Poppins" w:cs="Poppins"/>
          <w:sz w:val="20"/>
          <w:szCs w:val="20"/>
        </w:rPr>
        <w:t xml:space="preserve"> and </w:t>
      </w:r>
      <w:r w:rsidR="0060533F">
        <w:rPr>
          <w:rFonts w:ascii="Poppins" w:hAnsi="Poppins" w:cs="Poppins"/>
          <w:sz w:val="20"/>
          <w:szCs w:val="20"/>
        </w:rPr>
        <w:t>“</w:t>
      </w:r>
      <w:r w:rsidR="008766E6">
        <w:rPr>
          <w:rFonts w:ascii="Poppins" w:hAnsi="Poppins" w:cs="Poppins"/>
          <w:sz w:val="20"/>
          <w:szCs w:val="20"/>
        </w:rPr>
        <w:t>temporary emergency closure</w:t>
      </w:r>
      <w:r w:rsidR="0060533F">
        <w:rPr>
          <w:rFonts w:ascii="Poppins" w:hAnsi="Poppins" w:cs="Poppins"/>
          <w:sz w:val="20"/>
          <w:szCs w:val="20"/>
        </w:rPr>
        <w:t>s” of 6 schools</w:t>
      </w:r>
      <w:r w:rsidR="008766E6">
        <w:rPr>
          <w:rFonts w:ascii="Poppins" w:hAnsi="Poppins" w:cs="Poppins"/>
          <w:sz w:val="20"/>
          <w:szCs w:val="20"/>
        </w:rPr>
        <w:t xml:space="preserve"> due to staffing shortages</w:t>
      </w:r>
      <w:r w:rsidR="0014642A">
        <w:rPr>
          <w:rFonts w:ascii="Poppins" w:hAnsi="Poppins" w:cs="Poppins"/>
          <w:sz w:val="20"/>
          <w:szCs w:val="20"/>
        </w:rPr>
        <w:t>.</w:t>
      </w:r>
      <w:r w:rsidR="00BF3B73">
        <w:rPr>
          <w:rFonts w:ascii="Poppins" w:hAnsi="Poppins" w:cs="Poppins"/>
          <w:sz w:val="20"/>
          <w:szCs w:val="20"/>
        </w:rPr>
        <w:t xml:space="preserve"> Missouri is the only state that operates separate day schools for students seeking special education</w:t>
      </w:r>
      <w:r w:rsidR="00545265">
        <w:rPr>
          <w:rFonts w:ascii="Poppins" w:hAnsi="Poppins" w:cs="Poppins"/>
          <w:sz w:val="20"/>
          <w:szCs w:val="20"/>
        </w:rPr>
        <w:t xml:space="preserve"> and</w:t>
      </w:r>
      <w:r w:rsidR="001955DE">
        <w:rPr>
          <w:rFonts w:ascii="Poppins" w:hAnsi="Poppins" w:cs="Poppins"/>
          <w:sz w:val="20"/>
          <w:szCs w:val="20"/>
        </w:rPr>
        <w:t xml:space="preserve"> 85% of </w:t>
      </w:r>
      <w:r w:rsidR="00545265">
        <w:rPr>
          <w:rFonts w:ascii="Poppins" w:hAnsi="Poppins" w:cs="Poppins"/>
          <w:sz w:val="20"/>
          <w:szCs w:val="20"/>
        </w:rPr>
        <w:t>Missouri pa</w:t>
      </w:r>
      <w:r w:rsidR="001955DE">
        <w:rPr>
          <w:rFonts w:ascii="Poppins" w:hAnsi="Poppins" w:cs="Poppins"/>
          <w:sz w:val="20"/>
          <w:szCs w:val="20"/>
        </w:rPr>
        <w:t xml:space="preserve">rents </w:t>
      </w:r>
      <w:r w:rsidR="00545265">
        <w:rPr>
          <w:rFonts w:ascii="Poppins" w:hAnsi="Poppins" w:cs="Poppins"/>
          <w:sz w:val="20"/>
          <w:szCs w:val="20"/>
        </w:rPr>
        <w:t xml:space="preserve">prefer specialized schools for their </w:t>
      </w:r>
      <w:r w:rsidR="009336D0">
        <w:rPr>
          <w:rFonts w:ascii="Poppins" w:hAnsi="Poppins" w:cs="Poppins"/>
          <w:sz w:val="20"/>
          <w:szCs w:val="20"/>
        </w:rPr>
        <w:t>children</w:t>
      </w:r>
      <w:r w:rsidR="00545265">
        <w:rPr>
          <w:rFonts w:ascii="Poppins" w:hAnsi="Poppins" w:cs="Poppins"/>
          <w:sz w:val="20"/>
          <w:szCs w:val="20"/>
        </w:rPr>
        <w:t xml:space="preserve"> with learning disabilities. B</w:t>
      </w:r>
      <w:r w:rsidR="0022377F">
        <w:rPr>
          <w:rFonts w:ascii="Poppins" w:hAnsi="Poppins" w:cs="Poppins"/>
          <w:sz w:val="20"/>
          <w:szCs w:val="20"/>
        </w:rPr>
        <w:t>eginning next year,</w:t>
      </w:r>
      <w:r w:rsidR="00BF3B73">
        <w:rPr>
          <w:rFonts w:ascii="Poppins" w:hAnsi="Poppins" w:cs="Poppins"/>
          <w:sz w:val="20"/>
          <w:szCs w:val="20"/>
        </w:rPr>
        <w:t xml:space="preserve"> </w:t>
      </w:r>
      <w:r w:rsidR="0022377F">
        <w:rPr>
          <w:rFonts w:ascii="Poppins" w:hAnsi="Poppins" w:cs="Poppins"/>
          <w:sz w:val="20"/>
          <w:szCs w:val="20"/>
        </w:rPr>
        <w:t xml:space="preserve">every state will </w:t>
      </w:r>
      <w:r w:rsidR="007C0F9E">
        <w:rPr>
          <w:rFonts w:ascii="Poppins" w:hAnsi="Poppins" w:cs="Poppins"/>
          <w:sz w:val="20"/>
          <w:szCs w:val="20"/>
        </w:rPr>
        <w:t xml:space="preserve">have integrated special education </w:t>
      </w:r>
      <w:r w:rsidR="009336D0">
        <w:rPr>
          <w:rFonts w:ascii="Poppins" w:hAnsi="Poppins" w:cs="Poppins"/>
          <w:sz w:val="20"/>
          <w:szCs w:val="20"/>
        </w:rPr>
        <w:t>program</w:t>
      </w:r>
      <w:r w:rsidR="007C0F9E">
        <w:rPr>
          <w:rFonts w:ascii="Poppins" w:hAnsi="Poppins" w:cs="Poppins"/>
          <w:sz w:val="20"/>
          <w:szCs w:val="20"/>
        </w:rPr>
        <w:t>s</w:t>
      </w:r>
      <w:r w:rsidR="00BF3B73">
        <w:rPr>
          <w:rFonts w:ascii="Poppins" w:hAnsi="Poppins" w:cs="Poppins"/>
          <w:sz w:val="20"/>
          <w:szCs w:val="20"/>
        </w:rPr>
        <w:t>.</w:t>
      </w:r>
    </w:p>
    <w:p w14:paraId="4603E3D8" w14:textId="044A4C8D" w:rsidR="00886B52" w:rsidRPr="00AF75C5" w:rsidRDefault="00A454EB" w:rsidP="00AF75C5">
      <w:pPr>
        <w:spacing w:before="240" w:after="0"/>
        <w:rPr>
          <w:rFonts w:ascii="Poppins SemiBold" w:hAnsi="Poppins SemiBold" w:cs="Poppins SemiBold"/>
          <w:b/>
          <w:bCs/>
          <w:color w:val="4472C4" w:themeColor="accent1"/>
          <w:sz w:val="24"/>
          <w:szCs w:val="24"/>
        </w:rPr>
      </w:pPr>
      <w:r w:rsidRPr="00AF75C5">
        <w:rPr>
          <w:rFonts w:ascii="Poppins SemiBold" w:hAnsi="Poppins SemiBold" w:cs="Poppins SemiBold"/>
          <w:b/>
          <w:bCs/>
          <w:color w:val="4472C4" w:themeColor="accent1"/>
          <w:sz w:val="24"/>
          <w:szCs w:val="24"/>
        </w:rPr>
        <w:t>School-Aged Childhood Vaccination Rates Reaching Record Lows</w:t>
      </w:r>
    </w:p>
    <w:p w14:paraId="1A828206" w14:textId="2BD15F52" w:rsidR="009336D0" w:rsidRPr="00AF75C5" w:rsidRDefault="00A454EB" w:rsidP="00AF75C5">
      <w:pPr>
        <w:spacing w:before="120" w:after="0"/>
        <w:rPr>
          <w:rFonts w:ascii="Poppins" w:hAnsi="Poppins" w:cs="Poppins"/>
          <w:sz w:val="20"/>
          <w:szCs w:val="20"/>
        </w:rPr>
      </w:pPr>
      <w:r w:rsidRPr="00AF75C5">
        <w:rPr>
          <w:rFonts w:ascii="Poppins" w:hAnsi="Poppins" w:cs="Poppins"/>
          <w:sz w:val="20"/>
          <w:szCs w:val="20"/>
        </w:rPr>
        <w:t xml:space="preserve">CDC data shows </w:t>
      </w:r>
      <w:hyperlink r:id="rId9" w:history="1">
        <w:r w:rsidRPr="00AF75C5">
          <w:rPr>
            <w:rStyle w:val="Hyperlink"/>
            <w:rFonts w:ascii="Poppins" w:hAnsi="Poppins" w:cs="Poppins"/>
            <w:sz w:val="20"/>
            <w:szCs w:val="20"/>
          </w:rPr>
          <w:t>childhood vaccination rates for kindergarteners</w:t>
        </w:r>
      </w:hyperlink>
      <w:r w:rsidRPr="00AF75C5">
        <w:rPr>
          <w:rFonts w:ascii="Poppins" w:hAnsi="Poppins" w:cs="Poppins"/>
          <w:sz w:val="20"/>
          <w:szCs w:val="20"/>
        </w:rPr>
        <w:t xml:space="preserve"> are reaching record lows alongside soaring school vaccination exemption rates.</w:t>
      </w:r>
      <w:r w:rsidR="00276007" w:rsidRPr="00AF75C5">
        <w:rPr>
          <w:rFonts w:ascii="Poppins" w:hAnsi="Poppins" w:cs="Poppins"/>
          <w:sz w:val="20"/>
          <w:szCs w:val="20"/>
        </w:rPr>
        <w:t xml:space="preserve"> </w:t>
      </w:r>
      <w:r w:rsidRPr="00AF75C5">
        <w:rPr>
          <w:rFonts w:ascii="Poppins" w:hAnsi="Poppins" w:cs="Poppins"/>
          <w:sz w:val="20"/>
          <w:szCs w:val="20"/>
        </w:rPr>
        <w:t>At least 15</w:t>
      </w:r>
      <w:r w:rsidR="00276007" w:rsidRPr="00AF75C5">
        <w:rPr>
          <w:rFonts w:ascii="Poppins" w:hAnsi="Poppins" w:cs="Poppins"/>
          <w:sz w:val="20"/>
          <w:szCs w:val="20"/>
        </w:rPr>
        <w:t xml:space="preserve"> states </w:t>
      </w:r>
      <w:hyperlink r:id="rId10" w:history="1">
        <w:r w:rsidR="00276007" w:rsidRPr="00AF75C5">
          <w:rPr>
            <w:rStyle w:val="Hyperlink"/>
            <w:rFonts w:ascii="Poppins" w:hAnsi="Poppins" w:cs="Poppins"/>
            <w:sz w:val="20"/>
            <w:szCs w:val="20"/>
          </w:rPr>
          <w:t>are introducing legislation</w:t>
        </w:r>
      </w:hyperlink>
      <w:r w:rsidR="00276007" w:rsidRPr="00AF75C5">
        <w:rPr>
          <w:rFonts w:ascii="Poppins" w:hAnsi="Poppins" w:cs="Poppins"/>
          <w:sz w:val="20"/>
          <w:szCs w:val="20"/>
        </w:rPr>
        <w:t xml:space="preserve"> to loosen restrictions on school vaccination exemptions while </w:t>
      </w:r>
      <w:r w:rsidRPr="00AF75C5">
        <w:rPr>
          <w:rFonts w:ascii="Poppins" w:hAnsi="Poppins" w:cs="Poppins"/>
          <w:sz w:val="20"/>
          <w:szCs w:val="20"/>
        </w:rPr>
        <w:t>the United States</w:t>
      </w:r>
      <w:r w:rsidR="00276007" w:rsidRPr="00AF75C5">
        <w:rPr>
          <w:rFonts w:ascii="Poppins" w:hAnsi="Poppins" w:cs="Poppins"/>
          <w:sz w:val="20"/>
          <w:szCs w:val="20"/>
        </w:rPr>
        <w:t xml:space="preserve"> Department of Health and Human Services (HHS), Centers for Disease Control and Prevention (CDC) Advisory Committee on Immunization Practices (ACIP), and Food and Drug Administration (FDA) are rolling back recommendations and policies that promote regular childhood vaccination schedules. At the same time, professional organizations are </w:t>
      </w:r>
      <w:r w:rsidR="001E5A89" w:rsidRPr="00AF75C5">
        <w:rPr>
          <w:rFonts w:ascii="Poppins" w:hAnsi="Poppins" w:cs="Poppins"/>
          <w:sz w:val="20"/>
          <w:szCs w:val="20"/>
        </w:rPr>
        <w:t xml:space="preserve">combatting federal policies by </w:t>
      </w:r>
      <w:hyperlink r:id="rId11" w:history="1">
        <w:r w:rsidRPr="00AF75C5">
          <w:rPr>
            <w:rStyle w:val="Hyperlink"/>
            <w:rFonts w:ascii="Poppins" w:hAnsi="Poppins" w:cs="Poppins"/>
            <w:sz w:val="20"/>
            <w:szCs w:val="20"/>
          </w:rPr>
          <w:t>publishing</w:t>
        </w:r>
      </w:hyperlink>
      <w:r w:rsidRPr="00AF75C5">
        <w:rPr>
          <w:rFonts w:ascii="Poppins" w:hAnsi="Poppins" w:cs="Poppins"/>
          <w:sz w:val="20"/>
          <w:szCs w:val="20"/>
        </w:rPr>
        <w:t xml:space="preserve"> their own immunization schedules</w:t>
      </w:r>
      <w:r w:rsidR="00276007" w:rsidRPr="00AF75C5">
        <w:rPr>
          <w:rFonts w:ascii="Poppins" w:hAnsi="Poppins" w:cs="Poppins"/>
          <w:sz w:val="20"/>
          <w:szCs w:val="20"/>
        </w:rPr>
        <w:t>.</w:t>
      </w:r>
      <w:r w:rsidRPr="00AF75C5">
        <w:rPr>
          <w:rFonts w:ascii="Poppins" w:hAnsi="Poppins" w:cs="Poppins"/>
          <w:sz w:val="20"/>
          <w:szCs w:val="20"/>
        </w:rPr>
        <w:t xml:space="preserve"> The American Academy of Pediatrics (AAP) recognizes rising vaccine hesitancy among parents and expects more children to become infected with preventable infectious diseases as the school year begins. </w:t>
      </w:r>
      <w:r w:rsidR="001E5A89" w:rsidRPr="00AF75C5">
        <w:rPr>
          <w:rFonts w:ascii="Poppins" w:hAnsi="Poppins" w:cs="Poppins"/>
          <w:sz w:val="20"/>
          <w:szCs w:val="20"/>
        </w:rPr>
        <w:t xml:space="preserve">The AAP recommends parents rely on a trusted physician or advisor to navigate </w:t>
      </w:r>
      <w:r w:rsidR="001E5A89" w:rsidRPr="00AF75C5">
        <w:rPr>
          <w:rFonts w:ascii="Poppins" w:hAnsi="Poppins" w:cs="Poppins"/>
          <w:sz w:val="20"/>
          <w:szCs w:val="20"/>
        </w:rPr>
        <w:lastRenderedPageBreak/>
        <w:t xml:space="preserve">the shifting vaccine policy landscape during the beginning of the school year and monitor </w:t>
      </w:r>
      <w:hyperlink r:id="rId12" w:history="1">
        <w:r w:rsidR="001E5A89" w:rsidRPr="00AF75C5">
          <w:rPr>
            <w:rStyle w:val="Hyperlink"/>
            <w:rFonts w:ascii="Poppins" w:hAnsi="Poppins" w:cs="Poppins"/>
            <w:sz w:val="20"/>
            <w:szCs w:val="20"/>
          </w:rPr>
          <w:t>their website</w:t>
        </w:r>
      </w:hyperlink>
      <w:r w:rsidR="001E5A89" w:rsidRPr="00AF75C5">
        <w:rPr>
          <w:rFonts w:ascii="Poppins" w:hAnsi="Poppins" w:cs="Poppins"/>
          <w:sz w:val="20"/>
          <w:szCs w:val="20"/>
        </w:rPr>
        <w:t xml:space="preserve"> for updates on vaccine recommendation later this year.</w:t>
      </w:r>
    </w:p>
    <w:p w14:paraId="67A13CC3" w14:textId="77777777" w:rsidR="009336D0" w:rsidRPr="009336D0" w:rsidRDefault="009336D0" w:rsidP="00AF75C5">
      <w:pPr>
        <w:spacing w:before="240" w:after="0"/>
        <w:rPr>
          <w:rFonts w:ascii="Poppins SemiBold" w:hAnsi="Poppins SemiBold" w:cs="Poppins SemiBold"/>
          <w:b/>
          <w:bCs/>
          <w:color w:val="4472C4" w:themeColor="accent1"/>
          <w:sz w:val="24"/>
          <w:szCs w:val="24"/>
        </w:rPr>
      </w:pPr>
      <w:r w:rsidRPr="009336D0">
        <w:rPr>
          <w:rFonts w:ascii="Poppins SemiBold" w:hAnsi="Poppins SemiBold" w:cs="Poppins SemiBold"/>
          <w:b/>
          <w:bCs/>
          <w:color w:val="4472C4" w:themeColor="accent1"/>
          <w:sz w:val="24"/>
          <w:szCs w:val="24"/>
        </w:rPr>
        <w:t>Draft MAHA Strategic Report Leaked</w:t>
      </w:r>
    </w:p>
    <w:p w14:paraId="2FA4E473" w14:textId="7B9F8C1C" w:rsidR="009336D0" w:rsidRPr="009336D0" w:rsidRDefault="009336D0" w:rsidP="00AF75C5">
      <w:pPr>
        <w:spacing w:before="120" w:after="0"/>
        <w:rPr>
          <w:rFonts w:ascii="Poppins" w:hAnsi="Poppins" w:cs="Poppins"/>
          <w:sz w:val="20"/>
          <w:szCs w:val="20"/>
        </w:rPr>
      </w:pPr>
      <w:r w:rsidRPr="009336D0">
        <w:rPr>
          <w:rFonts w:ascii="Poppins" w:hAnsi="Poppins" w:cs="Poppins"/>
          <w:sz w:val="20"/>
          <w:szCs w:val="20"/>
        </w:rPr>
        <w:t xml:space="preserve">Late last week, a draft report from President Trump’s Make America Healthy Again (MAHA) Commission titled </w:t>
      </w:r>
      <w:hyperlink r:id="rId13" w:history="1">
        <w:r w:rsidRPr="009336D0">
          <w:rPr>
            <w:rStyle w:val="Hyperlink"/>
            <w:rFonts w:ascii="Poppins" w:hAnsi="Poppins" w:cs="Poppins"/>
            <w:sz w:val="20"/>
            <w:szCs w:val="20"/>
          </w:rPr>
          <w:t>Make Our Children Healthy Again Strategy</w:t>
        </w:r>
      </w:hyperlink>
      <w:r w:rsidRPr="009336D0">
        <w:rPr>
          <w:rFonts w:ascii="Poppins" w:hAnsi="Poppins" w:cs="Poppins"/>
          <w:sz w:val="20"/>
          <w:szCs w:val="20"/>
        </w:rPr>
        <w:t xml:space="preserve"> (The Strategy) was leaked</w:t>
      </w:r>
      <w:r w:rsidR="00641EFE">
        <w:rPr>
          <w:rFonts w:ascii="Poppins" w:hAnsi="Poppins" w:cs="Poppins"/>
          <w:sz w:val="20"/>
          <w:szCs w:val="20"/>
        </w:rPr>
        <w:t xml:space="preserve"> to the press</w:t>
      </w:r>
      <w:r w:rsidRPr="009336D0">
        <w:rPr>
          <w:rFonts w:ascii="Poppins" w:hAnsi="Poppins" w:cs="Poppins"/>
          <w:sz w:val="20"/>
          <w:szCs w:val="20"/>
        </w:rPr>
        <w:t xml:space="preserve">. Established in February 2025 by </w:t>
      </w:r>
      <w:hyperlink r:id="rId14" w:history="1">
        <w:r w:rsidRPr="009336D0">
          <w:rPr>
            <w:rStyle w:val="Hyperlink"/>
            <w:rFonts w:ascii="Poppins" w:hAnsi="Poppins" w:cs="Poppins"/>
            <w:sz w:val="20"/>
            <w:szCs w:val="20"/>
          </w:rPr>
          <w:t>Executive Order</w:t>
        </w:r>
      </w:hyperlink>
      <w:r w:rsidRPr="009336D0">
        <w:rPr>
          <w:rFonts w:ascii="Poppins" w:hAnsi="Poppins" w:cs="Poppins"/>
          <w:sz w:val="20"/>
          <w:szCs w:val="20"/>
        </w:rPr>
        <w:t xml:space="preserve"> and chaired by Department of Health and Human Services (HHS) Secretary Robert F. Kennedy Jr., the MAHA Commission was directed to conduct an initial assessment and develop a strategy on childhood chronic disease. The </w:t>
      </w:r>
      <w:hyperlink r:id="rId15" w:history="1">
        <w:r w:rsidRPr="009336D0">
          <w:rPr>
            <w:rStyle w:val="Hyperlink"/>
            <w:rFonts w:ascii="Poppins" w:hAnsi="Poppins" w:cs="Poppins"/>
            <w:sz w:val="20"/>
            <w:szCs w:val="20"/>
          </w:rPr>
          <w:t>Make Our Children Healthy Again Assessment</w:t>
        </w:r>
      </w:hyperlink>
      <w:r w:rsidRPr="009336D0">
        <w:rPr>
          <w:rFonts w:ascii="Poppins" w:hAnsi="Poppins" w:cs="Poppins"/>
          <w:sz w:val="20"/>
          <w:szCs w:val="20"/>
        </w:rPr>
        <w:t xml:space="preserve"> (The Assessment) was </w:t>
      </w:r>
      <w:hyperlink r:id="rId16" w:history="1">
        <w:r w:rsidRPr="009336D0">
          <w:rPr>
            <w:rStyle w:val="Hyperlink"/>
            <w:rFonts w:ascii="Poppins" w:hAnsi="Poppins" w:cs="Poppins"/>
            <w:sz w:val="20"/>
            <w:szCs w:val="20"/>
          </w:rPr>
          <w:t>released</w:t>
        </w:r>
      </w:hyperlink>
      <w:r w:rsidRPr="009336D0">
        <w:rPr>
          <w:rFonts w:ascii="Poppins" w:hAnsi="Poppins" w:cs="Poppins"/>
          <w:sz w:val="20"/>
          <w:szCs w:val="20"/>
        </w:rPr>
        <w:t xml:space="preserve"> May 22</w:t>
      </w:r>
      <w:r w:rsidRPr="009336D0">
        <w:rPr>
          <w:rFonts w:ascii="Poppins" w:hAnsi="Poppins" w:cs="Poppins"/>
          <w:sz w:val="20"/>
          <w:szCs w:val="20"/>
          <w:vertAlign w:val="superscript"/>
        </w:rPr>
        <w:t>nd</w:t>
      </w:r>
      <w:r w:rsidRPr="009336D0">
        <w:rPr>
          <w:rFonts w:ascii="Poppins" w:hAnsi="Poppins" w:cs="Poppins"/>
          <w:sz w:val="20"/>
          <w:szCs w:val="20"/>
        </w:rPr>
        <w:t>, concluding that childhood chronic disease drivers include poor diet, environmental chemicals, lack of physical activity, chronic stress, and medication overprescribing.</w:t>
      </w:r>
    </w:p>
    <w:p w14:paraId="63DCE0EC" w14:textId="77777777" w:rsidR="009336D0" w:rsidRPr="009336D0" w:rsidRDefault="009336D0" w:rsidP="00AF75C5">
      <w:pPr>
        <w:spacing w:before="120" w:after="0"/>
        <w:rPr>
          <w:rFonts w:ascii="Poppins" w:hAnsi="Poppins" w:cs="Poppins"/>
          <w:sz w:val="20"/>
          <w:szCs w:val="20"/>
        </w:rPr>
      </w:pPr>
      <w:r w:rsidRPr="009336D0">
        <w:rPr>
          <w:rFonts w:ascii="Poppins" w:hAnsi="Poppins" w:cs="Poppins"/>
          <w:sz w:val="20"/>
          <w:szCs w:val="20"/>
        </w:rPr>
        <w:t>Notably, The Strategy recommends moving forward with HHS restructuring plans, including the creation of the Administration for a Healthy America (AHA). The Strategy aims to address the issues identified in The Assessment through four major pillars:</w:t>
      </w:r>
    </w:p>
    <w:p w14:paraId="2BADB313" w14:textId="77777777" w:rsidR="009336D0" w:rsidRPr="009336D0" w:rsidRDefault="009336D0" w:rsidP="00AF75C5">
      <w:pPr>
        <w:spacing w:before="120" w:after="0"/>
        <w:rPr>
          <w:rFonts w:ascii="Poppins" w:hAnsi="Poppins" w:cs="Poppins"/>
          <w:sz w:val="20"/>
          <w:szCs w:val="20"/>
        </w:rPr>
      </w:pPr>
      <w:r w:rsidRPr="009336D0">
        <w:rPr>
          <w:rFonts w:ascii="Poppins" w:hAnsi="Poppins" w:cs="Poppins"/>
          <w:sz w:val="20"/>
          <w:szCs w:val="20"/>
        </w:rPr>
        <w:t>The Advancing Critical Research to Drive Innovation pillar will include a plethora of studies and data analyses, mostly through the National Institutes of Health (NIH). The research will use real world data and expanded trial mechanisms to explore autism, infertility, vaccine injuries, environmental hazards, nutrition, precision medicine, artificial intelligence (AI), and more. Additionally, HHS will establish a mental health diagnosis and prescription working group to evaluate the therapeutic harms and benefits of current childhood diagnostic thresholds and prescribing trends for SSRIs, antipsychotics, stimulants, and other relevant drugs and explore the benefits of school-based interventions, diet, and foster care services.</w:t>
      </w:r>
    </w:p>
    <w:p w14:paraId="41BBA49D" w14:textId="77777777" w:rsidR="009336D0" w:rsidRPr="009336D0" w:rsidRDefault="009336D0" w:rsidP="00AF75C5">
      <w:pPr>
        <w:spacing w:before="120" w:after="0"/>
        <w:rPr>
          <w:rFonts w:ascii="Poppins" w:hAnsi="Poppins" w:cs="Poppins"/>
          <w:sz w:val="20"/>
          <w:szCs w:val="20"/>
        </w:rPr>
      </w:pPr>
      <w:r w:rsidRPr="009336D0">
        <w:rPr>
          <w:rFonts w:ascii="Poppins" w:hAnsi="Poppins" w:cs="Poppins"/>
          <w:sz w:val="20"/>
          <w:szCs w:val="20"/>
        </w:rPr>
        <w:t>The pillar on Realigning Incentives and Systems to Drive Health Outcomes outlines policy reforms, process efficiencies and deregulation, and agency restructuring to promote health across the lifespan. The recommendations include efforts to improve food labeling and nutritional quality, revisit water fluorination, readdress vaccination injuries, promote sunscreen innovation, improve accessibility to direct primary care, and implement medical service price transparency. Additionally, the proposals aim to improve nutrition education programming, influence Supplemental Nutrition Assistance Program (SNAP) waivers, establish new Medicaid quality standards for nutrition and fitness in managed care organizations (MCOs), and expand Medicaid medication prior authorizations for children.</w:t>
      </w:r>
    </w:p>
    <w:p w14:paraId="56A6E42A" w14:textId="77777777" w:rsidR="009336D0" w:rsidRPr="009336D0" w:rsidRDefault="009336D0" w:rsidP="00AF75C5">
      <w:pPr>
        <w:spacing w:before="120" w:after="0"/>
        <w:rPr>
          <w:rFonts w:ascii="Poppins" w:hAnsi="Poppins" w:cs="Poppins"/>
          <w:sz w:val="20"/>
          <w:szCs w:val="20"/>
        </w:rPr>
      </w:pPr>
      <w:r w:rsidRPr="009336D0">
        <w:rPr>
          <w:rFonts w:ascii="Poppins" w:hAnsi="Poppins" w:cs="Poppins"/>
          <w:sz w:val="20"/>
          <w:szCs w:val="20"/>
        </w:rPr>
        <w:t>The Strategy aims to Increase Public Awareness and Knowledge of childhood health issues and interventions, as well as Foster Private Sector Collaboration by investing in community-level innovations, promoting “whole, healthy foods”, addressing infertility, and improving land stewardship and agricultural practices.</w:t>
      </w:r>
    </w:p>
    <w:p w14:paraId="5B8C03E3" w14:textId="75F0F37B" w:rsidR="009336D0" w:rsidRPr="009336D0" w:rsidRDefault="009336D0" w:rsidP="00AF75C5">
      <w:pPr>
        <w:spacing w:before="120" w:after="0"/>
        <w:rPr>
          <w:rFonts w:ascii="Poppins" w:hAnsi="Poppins" w:cs="Poppins"/>
          <w:sz w:val="20"/>
          <w:szCs w:val="20"/>
        </w:rPr>
      </w:pPr>
      <w:r w:rsidRPr="009336D0">
        <w:rPr>
          <w:rFonts w:ascii="Poppins" w:hAnsi="Poppins" w:cs="Poppins"/>
          <w:sz w:val="20"/>
          <w:szCs w:val="20"/>
        </w:rPr>
        <w:lastRenderedPageBreak/>
        <w:t>The report was due to the President on August 12</w:t>
      </w:r>
      <w:r w:rsidRPr="009336D0">
        <w:rPr>
          <w:rFonts w:ascii="Poppins" w:hAnsi="Poppins" w:cs="Poppins"/>
          <w:sz w:val="20"/>
          <w:szCs w:val="20"/>
          <w:vertAlign w:val="superscript"/>
        </w:rPr>
        <w:t>th</w:t>
      </w:r>
      <w:r w:rsidRPr="009336D0">
        <w:rPr>
          <w:rFonts w:ascii="Poppins" w:hAnsi="Poppins" w:cs="Poppins"/>
          <w:sz w:val="20"/>
          <w:szCs w:val="20"/>
        </w:rPr>
        <w:t>, 2025,</w:t>
      </w:r>
      <w:r w:rsidR="00641EFE">
        <w:rPr>
          <w:rFonts w:ascii="Poppins" w:hAnsi="Poppins" w:cs="Poppins"/>
          <w:sz w:val="20"/>
          <w:szCs w:val="20"/>
        </w:rPr>
        <w:t xml:space="preserve"> but</w:t>
      </w:r>
      <w:r w:rsidRPr="009336D0">
        <w:rPr>
          <w:rFonts w:ascii="Poppins" w:hAnsi="Poppins" w:cs="Poppins"/>
          <w:sz w:val="20"/>
          <w:szCs w:val="20"/>
        </w:rPr>
        <w:t xml:space="preserve"> has not been officially released</w:t>
      </w:r>
      <w:r w:rsidR="00641EFE">
        <w:rPr>
          <w:rFonts w:ascii="Poppins" w:hAnsi="Poppins" w:cs="Poppins"/>
          <w:sz w:val="20"/>
          <w:szCs w:val="20"/>
        </w:rPr>
        <w:t xml:space="preserve"> by the White House</w:t>
      </w:r>
      <w:r w:rsidRPr="009336D0">
        <w:rPr>
          <w:rFonts w:ascii="Poppins" w:hAnsi="Poppins" w:cs="Poppins"/>
          <w:sz w:val="20"/>
          <w:szCs w:val="20"/>
        </w:rPr>
        <w:t>.</w:t>
      </w:r>
    </w:p>
    <w:p w14:paraId="202BC6C9" w14:textId="77777777" w:rsidR="00AF75C5" w:rsidRDefault="00A16B51" w:rsidP="00AF75C5">
      <w:pPr>
        <w:spacing w:before="240" w:after="0"/>
        <w:rPr>
          <w:rFonts w:ascii="Poppins" w:hAnsi="Poppins" w:cs="Poppins"/>
          <w:sz w:val="20"/>
          <w:szCs w:val="20"/>
        </w:rPr>
      </w:pPr>
      <w:r w:rsidRPr="00A16B51">
        <w:rPr>
          <w:rFonts w:ascii="Poppins SemiBold" w:hAnsi="Poppins SemiBold" w:cs="Poppins SemiBold"/>
          <w:b/>
          <w:bCs/>
          <w:color w:val="4472C4" w:themeColor="accent1"/>
          <w:sz w:val="24"/>
          <w:szCs w:val="24"/>
        </w:rPr>
        <w:t>HHS Reinstates the Task Force on Safer Childhood Vaccines</w:t>
      </w:r>
    </w:p>
    <w:p w14:paraId="07E34B17" w14:textId="77777777" w:rsidR="00641EFE" w:rsidRDefault="00641EFE" w:rsidP="00AF75C5">
      <w:pPr>
        <w:spacing w:before="120" w:after="0"/>
        <w:rPr>
          <w:rFonts w:ascii="Poppins" w:hAnsi="Poppins" w:cs="Poppins"/>
          <w:sz w:val="20"/>
          <w:szCs w:val="20"/>
        </w:rPr>
      </w:pPr>
      <w:r>
        <w:rPr>
          <w:rFonts w:ascii="Poppins" w:hAnsi="Poppins" w:cs="Poppins"/>
          <w:sz w:val="20"/>
          <w:szCs w:val="20"/>
        </w:rPr>
        <w:t xml:space="preserve">HHS has </w:t>
      </w:r>
      <w:r w:rsidR="00A16B51" w:rsidRPr="00A16B51">
        <w:rPr>
          <w:rFonts w:ascii="Poppins" w:hAnsi="Poppins" w:cs="Poppins"/>
          <w:sz w:val="20"/>
          <w:szCs w:val="20"/>
        </w:rPr>
        <w:t>reinstated the </w:t>
      </w:r>
      <w:hyperlink r:id="rId17" w:tooltip="https://healthsperien.us19.list-manage.com/track/click?u=b80803827ec1d826bd16eace6&amp;id=ce24c853ae&amp;e=02f9a79650" w:history="1">
        <w:r w:rsidR="00A16B51" w:rsidRPr="00A16B51">
          <w:rPr>
            <w:rStyle w:val="Hyperlink"/>
            <w:rFonts w:ascii="Poppins" w:hAnsi="Poppins" w:cs="Poppins"/>
            <w:sz w:val="20"/>
            <w:szCs w:val="20"/>
          </w:rPr>
          <w:t>T</w:t>
        </w:r>
      </w:hyperlink>
      <w:hyperlink r:id="rId18" w:tooltip="https://healthsperien.us19.list-manage.com/track/click?u=b80803827ec1d826bd16eace6&amp;id=df58cb73e2&amp;e=02f9a79650" w:history="1">
        <w:r w:rsidR="00A16B51" w:rsidRPr="00A16B51">
          <w:rPr>
            <w:rStyle w:val="Hyperlink"/>
            <w:rFonts w:ascii="Poppins" w:hAnsi="Poppins" w:cs="Poppins"/>
            <w:sz w:val="20"/>
            <w:szCs w:val="20"/>
          </w:rPr>
          <w:t>ask Force on Safer Childhood Vaccines</w:t>
        </w:r>
      </w:hyperlink>
      <w:r w:rsidR="00A16B51" w:rsidRPr="00A16B51">
        <w:rPr>
          <w:rFonts w:ascii="Poppins" w:hAnsi="Poppins" w:cs="Poppins"/>
          <w:sz w:val="20"/>
          <w:szCs w:val="20"/>
        </w:rPr>
        <w:t>, which was created by Congress and disbanded in 1998. The Task Force is a federal panel that aims to improve the safety, quality, and oversight of vaccines administered to American children.</w:t>
      </w:r>
      <w:r>
        <w:rPr>
          <w:rFonts w:ascii="Poppins" w:hAnsi="Poppins" w:cs="Poppins"/>
          <w:sz w:val="20"/>
          <w:szCs w:val="20"/>
        </w:rPr>
        <w:t xml:space="preserve"> </w:t>
      </w:r>
      <w:r w:rsidR="00A16B51" w:rsidRPr="00A16B51">
        <w:rPr>
          <w:rFonts w:ascii="Poppins" w:hAnsi="Poppins" w:cs="Poppins"/>
          <w:sz w:val="20"/>
          <w:szCs w:val="20"/>
        </w:rPr>
        <w:t xml:space="preserve">The Task Force </w:t>
      </w:r>
      <w:r>
        <w:rPr>
          <w:rFonts w:ascii="Poppins" w:hAnsi="Poppins" w:cs="Poppins"/>
          <w:sz w:val="20"/>
          <w:szCs w:val="20"/>
        </w:rPr>
        <w:t xml:space="preserve">includes </w:t>
      </w:r>
      <w:r w:rsidR="00A16B51" w:rsidRPr="00A16B51">
        <w:rPr>
          <w:rFonts w:ascii="Poppins" w:hAnsi="Poppins" w:cs="Poppins"/>
          <w:sz w:val="20"/>
          <w:szCs w:val="20"/>
        </w:rPr>
        <w:t xml:space="preserve">senior leadership from NIH, </w:t>
      </w:r>
      <w:r w:rsidR="001E5A89">
        <w:rPr>
          <w:rFonts w:ascii="Poppins" w:hAnsi="Poppins" w:cs="Poppins"/>
          <w:sz w:val="20"/>
          <w:szCs w:val="20"/>
        </w:rPr>
        <w:t>FDA</w:t>
      </w:r>
      <w:r w:rsidR="00A16B51" w:rsidRPr="00A16B51">
        <w:rPr>
          <w:rFonts w:ascii="Poppins" w:hAnsi="Poppins" w:cs="Poppins"/>
          <w:sz w:val="20"/>
          <w:szCs w:val="20"/>
        </w:rPr>
        <w:t xml:space="preserve">, and </w:t>
      </w:r>
      <w:r w:rsidR="001E5A89">
        <w:rPr>
          <w:rFonts w:ascii="Poppins" w:hAnsi="Poppins" w:cs="Poppins"/>
          <w:sz w:val="20"/>
          <w:szCs w:val="20"/>
        </w:rPr>
        <w:t>CDC</w:t>
      </w:r>
      <w:r w:rsidR="00A16B51" w:rsidRPr="00A16B51">
        <w:rPr>
          <w:rFonts w:ascii="Poppins" w:hAnsi="Poppins" w:cs="Poppins"/>
          <w:sz w:val="20"/>
          <w:szCs w:val="20"/>
        </w:rPr>
        <w:t>, with the NIH Director as the Chairman. The Task Force will produce its first formal report to Congress within two years, with updates every two years.</w:t>
      </w:r>
      <w:r w:rsidR="00A16B51" w:rsidRPr="00A16B51">
        <w:rPr>
          <w:rFonts w:ascii="Poppins" w:hAnsi="Poppins" w:cs="Poppins"/>
          <w:sz w:val="20"/>
          <w:szCs w:val="20"/>
        </w:rPr>
        <w:br/>
      </w:r>
    </w:p>
    <w:p w14:paraId="2A111CB9" w14:textId="346AFFC7" w:rsidR="00A16B51" w:rsidRPr="00A16B51" w:rsidRDefault="00A16B51" w:rsidP="00AF75C5">
      <w:pPr>
        <w:spacing w:before="120" w:after="0"/>
        <w:rPr>
          <w:rFonts w:ascii="Poppins" w:hAnsi="Poppins" w:cs="Poppins"/>
          <w:sz w:val="20"/>
          <w:szCs w:val="20"/>
        </w:rPr>
      </w:pPr>
      <w:r w:rsidRPr="00A16B51">
        <w:rPr>
          <w:rFonts w:ascii="Poppins" w:hAnsi="Poppins" w:cs="Poppins"/>
          <w:sz w:val="20"/>
          <w:szCs w:val="20"/>
        </w:rPr>
        <w:t>The Task Force will work with the Advisory Commission on Childhood Vaccines to produce regular recommendations on:</w:t>
      </w:r>
    </w:p>
    <w:p w14:paraId="6D87ABA3" w14:textId="77777777" w:rsidR="00A16B51" w:rsidRPr="00A16B51" w:rsidRDefault="00A16B51" w:rsidP="00AF75C5">
      <w:pPr>
        <w:numPr>
          <w:ilvl w:val="0"/>
          <w:numId w:val="7"/>
        </w:numPr>
        <w:spacing w:before="120" w:after="0"/>
        <w:rPr>
          <w:rFonts w:ascii="Poppins" w:hAnsi="Poppins" w:cs="Poppins"/>
          <w:sz w:val="20"/>
          <w:szCs w:val="20"/>
        </w:rPr>
      </w:pPr>
      <w:r w:rsidRPr="00A16B51">
        <w:rPr>
          <w:rFonts w:ascii="Poppins" w:hAnsi="Poppins" w:cs="Poppins"/>
          <w:sz w:val="20"/>
          <w:szCs w:val="20"/>
        </w:rPr>
        <w:t>The development, promotion, and refinement of childhood vaccines that result in fewer and less serious adverse reactions than those vaccines currently on the market.</w:t>
      </w:r>
    </w:p>
    <w:p w14:paraId="08D08E08" w14:textId="77777777" w:rsidR="00A16B51" w:rsidRDefault="00A16B51" w:rsidP="00AF75C5">
      <w:pPr>
        <w:numPr>
          <w:ilvl w:val="0"/>
          <w:numId w:val="7"/>
        </w:numPr>
        <w:spacing w:before="120" w:after="0"/>
        <w:rPr>
          <w:rFonts w:ascii="Poppins" w:hAnsi="Poppins" w:cs="Poppins"/>
          <w:sz w:val="20"/>
          <w:szCs w:val="20"/>
        </w:rPr>
      </w:pPr>
      <w:r w:rsidRPr="00A16B51">
        <w:rPr>
          <w:rFonts w:ascii="Poppins" w:hAnsi="Poppins" w:cs="Poppins"/>
          <w:sz w:val="20"/>
          <w:szCs w:val="20"/>
        </w:rPr>
        <w:t>Improvements in vaccine development, production, distribution, and adverse reaction reporting — along with supporting research to make vaccines safer.</w:t>
      </w:r>
    </w:p>
    <w:p w14:paraId="4F272E01" w14:textId="3EC17EEF" w:rsidR="006E69F4" w:rsidRPr="006E69F4" w:rsidRDefault="006E69F4" w:rsidP="00AF75C5">
      <w:pPr>
        <w:spacing w:before="240" w:after="0"/>
        <w:rPr>
          <w:rFonts w:ascii="Poppins SemiBold" w:hAnsi="Poppins SemiBold" w:cs="Poppins SemiBold"/>
          <w:color w:val="4472C4" w:themeColor="accent1"/>
          <w:sz w:val="24"/>
          <w:szCs w:val="24"/>
        </w:rPr>
      </w:pPr>
      <w:r w:rsidRPr="006E69F4">
        <w:rPr>
          <w:rFonts w:ascii="Poppins SemiBold" w:hAnsi="Poppins SemiBold" w:cs="Poppins SemiBold"/>
          <w:b/>
          <w:bCs/>
          <w:color w:val="4472C4" w:themeColor="accent1"/>
          <w:sz w:val="24"/>
          <w:szCs w:val="24"/>
        </w:rPr>
        <w:t>Updated CBO OBBB Estimate Again Projects 10 Million Uninsured by 2034</w:t>
      </w:r>
    </w:p>
    <w:p w14:paraId="2D1CBEE5" w14:textId="0E53C537" w:rsidR="006E69F4" w:rsidRPr="006E69F4" w:rsidRDefault="006E69F4" w:rsidP="00AF75C5">
      <w:pPr>
        <w:spacing w:before="120" w:after="0"/>
        <w:rPr>
          <w:rFonts w:ascii="Poppins" w:hAnsi="Poppins" w:cs="Poppins"/>
          <w:sz w:val="20"/>
          <w:szCs w:val="20"/>
        </w:rPr>
      </w:pPr>
      <w:r w:rsidRPr="006E69F4">
        <w:rPr>
          <w:rFonts w:ascii="Poppins" w:hAnsi="Poppins" w:cs="Poppins"/>
          <w:sz w:val="20"/>
          <w:szCs w:val="20"/>
        </w:rPr>
        <w:t>On Monday August 11</w:t>
      </w:r>
      <w:r w:rsidR="001D038C" w:rsidRPr="001D038C">
        <w:rPr>
          <w:rFonts w:ascii="Poppins" w:hAnsi="Poppins" w:cs="Poppins"/>
          <w:sz w:val="20"/>
          <w:szCs w:val="20"/>
          <w:vertAlign w:val="superscript"/>
        </w:rPr>
        <w:t>th</w:t>
      </w:r>
      <w:r w:rsidRPr="006E69F4">
        <w:rPr>
          <w:rFonts w:ascii="Poppins" w:hAnsi="Poppins" w:cs="Poppins"/>
          <w:sz w:val="20"/>
          <w:szCs w:val="20"/>
        </w:rPr>
        <w:t>, the Congressional Budget Office (CBO) </w:t>
      </w:r>
      <w:hyperlink r:id="rId19" w:tooltip="https://healthsperien.us19.list-manage.com/track/click?u=b80803827ec1d826bd16eace6&amp;id=6a3a6c497e&amp;e=02f9a79650" w:history="1">
        <w:r w:rsidRPr="006E69F4">
          <w:rPr>
            <w:rStyle w:val="Hyperlink"/>
            <w:rFonts w:ascii="Poppins" w:hAnsi="Poppins" w:cs="Poppins"/>
            <w:sz w:val="20"/>
            <w:szCs w:val="20"/>
          </w:rPr>
          <w:t>updated its impact analysis</w:t>
        </w:r>
      </w:hyperlink>
      <w:r w:rsidRPr="006E69F4">
        <w:rPr>
          <w:rFonts w:ascii="Poppins" w:hAnsi="Poppins" w:cs="Poppins"/>
          <w:sz w:val="20"/>
          <w:szCs w:val="20"/>
        </w:rPr>
        <w:t> of the One Big Beautiful Bill (OBBB). Overall,</w:t>
      </w:r>
      <w:r w:rsidR="00671966">
        <w:rPr>
          <w:rFonts w:ascii="Poppins" w:hAnsi="Poppins" w:cs="Poppins"/>
          <w:sz w:val="20"/>
          <w:szCs w:val="20"/>
        </w:rPr>
        <w:t xml:space="preserve"> the</w:t>
      </w:r>
      <w:r w:rsidRPr="006E69F4">
        <w:rPr>
          <w:rFonts w:ascii="Poppins" w:hAnsi="Poppins" w:cs="Poppins"/>
          <w:sz w:val="20"/>
          <w:szCs w:val="20"/>
        </w:rPr>
        <w:t xml:space="preserve"> CBO projects an average net increase in household resources, but with significant variation across the population: households in the bottom 10% will lose about $1,200 annually (–3.1% of income), primarily due to Medicaid and Supplemental Nutrition Assistance Program (SNAP) cuts; middle-income households will gain roughly 1% of income; and the top 10% will see an average $13,600 increase (+2.7% of income).</w:t>
      </w:r>
    </w:p>
    <w:p w14:paraId="42D42B90" w14:textId="3BB79ECC" w:rsidR="006E69F4" w:rsidRPr="006E69F4" w:rsidRDefault="006E69F4" w:rsidP="00AF75C5">
      <w:pPr>
        <w:spacing w:before="120" w:after="0"/>
        <w:rPr>
          <w:rFonts w:ascii="Poppins" w:hAnsi="Poppins" w:cs="Poppins"/>
          <w:sz w:val="20"/>
          <w:szCs w:val="20"/>
        </w:rPr>
      </w:pPr>
      <w:r w:rsidRPr="006E69F4">
        <w:rPr>
          <w:rFonts w:ascii="Poppins" w:hAnsi="Poppins" w:cs="Poppins"/>
          <w:sz w:val="20"/>
          <w:szCs w:val="20"/>
        </w:rPr>
        <w:t>In terms of health coverage, CBO reaffirms its projections that by 2034, 10 million more people will be uninsured. This includes:</w:t>
      </w:r>
    </w:p>
    <w:p w14:paraId="6097FB04" w14:textId="58CC9687" w:rsidR="006E69F4" w:rsidRPr="006E69F4" w:rsidRDefault="006E69F4" w:rsidP="00AF75C5">
      <w:pPr>
        <w:numPr>
          <w:ilvl w:val="0"/>
          <w:numId w:val="7"/>
        </w:numPr>
        <w:spacing w:before="120" w:after="0"/>
        <w:rPr>
          <w:rFonts w:ascii="Poppins" w:hAnsi="Poppins" w:cs="Poppins"/>
          <w:sz w:val="20"/>
          <w:szCs w:val="20"/>
        </w:rPr>
      </w:pPr>
      <w:r w:rsidRPr="006E69F4">
        <w:rPr>
          <w:rFonts w:ascii="Poppins" w:hAnsi="Poppins" w:cs="Poppins"/>
          <w:sz w:val="20"/>
          <w:szCs w:val="20"/>
        </w:rPr>
        <w:t>7.5 million fewer insured from Medicaid policy changes, of which 5.3 million from work requirements (effective December 31, 2026) that require the expansion population to work or perform community service over 80 hours per month</w:t>
      </w:r>
    </w:p>
    <w:p w14:paraId="4185C223" w14:textId="54FBBE9E" w:rsidR="006E69F4" w:rsidRPr="006E69F4" w:rsidRDefault="006E69F4" w:rsidP="00AF75C5">
      <w:pPr>
        <w:numPr>
          <w:ilvl w:val="0"/>
          <w:numId w:val="7"/>
        </w:numPr>
        <w:spacing w:before="120" w:after="0"/>
        <w:rPr>
          <w:rFonts w:ascii="Poppins" w:hAnsi="Poppins" w:cs="Poppins"/>
          <w:sz w:val="20"/>
          <w:szCs w:val="20"/>
        </w:rPr>
      </w:pPr>
      <w:r w:rsidRPr="006E69F4">
        <w:rPr>
          <w:rFonts w:ascii="Poppins" w:hAnsi="Poppins" w:cs="Poppins"/>
          <w:sz w:val="20"/>
          <w:szCs w:val="20"/>
        </w:rPr>
        <w:t>2.1 million fewer insured from changes to Affordable Care Act provisions</w:t>
      </w:r>
    </w:p>
    <w:p w14:paraId="437591F4" w14:textId="7FE02516" w:rsidR="006E69F4" w:rsidRPr="006E69F4" w:rsidRDefault="006E69F4" w:rsidP="00AF75C5">
      <w:pPr>
        <w:numPr>
          <w:ilvl w:val="0"/>
          <w:numId w:val="7"/>
        </w:numPr>
        <w:spacing w:before="120" w:after="0"/>
        <w:rPr>
          <w:rFonts w:ascii="Poppins" w:hAnsi="Poppins" w:cs="Poppins"/>
          <w:sz w:val="20"/>
          <w:szCs w:val="20"/>
        </w:rPr>
      </w:pPr>
      <w:r w:rsidRPr="006E69F4">
        <w:rPr>
          <w:rFonts w:ascii="Poppins" w:hAnsi="Poppins" w:cs="Poppins"/>
          <w:sz w:val="20"/>
          <w:szCs w:val="20"/>
        </w:rPr>
        <w:t>1.1 million fewer insured from the moratorium on provider taxes</w:t>
      </w:r>
    </w:p>
    <w:p w14:paraId="106D244C" w14:textId="5E65BBBD" w:rsidR="006E69F4" w:rsidRPr="006E69F4" w:rsidRDefault="006E69F4" w:rsidP="00AF75C5">
      <w:pPr>
        <w:numPr>
          <w:ilvl w:val="0"/>
          <w:numId w:val="7"/>
        </w:numPr>
        <w:spacing w:before="120" w:after="0"/>
        <w:rPr>
          <w:rFonts w:ascii="Poppins" w:hAnsi="Poppins" w:cs="Poppins"/>
          <w:sz w:val="20"/>
          <w:szCs w:val="20"/>
        </w:rPr>
      </w:pPr>
      <w:r w:rsidRPr="006E69F4">
        <w:rPr>
          <w:rFonts w:ascii="Poppins" w:hAnsi="Poppins" w:cs="Poppins"/>
          <w:sz w:val="20"/>
          <w:szCs w:val="20"/>
        </w:rPr>
        <w:t>700,000 fewer insured from the mandate that states check eligibility for the expansion population</w:t>
      </w:r>
    </w:p>
    <w:p w14:paraId="4616253E" w14:textId="5A0DCC5C" w:rsidR="006E69F4" w:rsidRPr="006E69F4" w:rsidRDefault="006E69F4" w:rsidP="00AF75C5">
      <w:pPr>
        <w:numPr>
          <w:ilvl w:val="0"/>
          <w:numId w:val="7"/>
        </w:numPr>
        <w:spacing w:before="120" w:after="0"/>
        <w:rPr>
          <w:rFonts w:ascii="Poppins" w:hAnsi="Poppins" w:cs="Poppins"/>
          <w:sz w:val="20"/>
          <w:szCs w:val="20"/>
        </w:rPr>
      </w:pPr>
      <w:r w:rsidRPr="006E69F4">
        <w:rPr>
          <w:rFonts w:ascii="Poppins" w:hAnsi="Poppins" w:cs="Poppins"/>
          <w:sz w:val="20"/>
          <w:szCs w:val="20"/>
        </w:rPr>
        <w:t>900,000 fewer insured from restrictions on ACA premium tax credits for undocumented immigrants</w:t>
      </w:r>
    </w:p>
    <w:p w14:paraId="5A9F86C0" w14:textId="67524429" w:rsidR="006E69F4" w:rsidRPr="006E69F4" w:rsidRDefault="006E69F4" w:rsidP="00AF75C5">
      <w:pPr>
        <w:numPr>
          <w:ilvl w:val="0"/>
          <w:numId w:val="7"/>
        </w:numPr>
        <w:spacing w:before="120" w:after="0"/>
        <w:rPr>
          <w:rFonts w:ascii="Poppins" w:hAnsi="Poppins" w:cs="Poppins"/>
          <w:sz w:val="20"/>
          <w:szCs w:val="20"/>
        </w:rPr>
      </w:pPr>
      <w:r w:rsidRPr="006E69F4">
        <w:rPr>
          <w:rFonts w:ascii="Poppins" w:hAnsi="Poppins" w:cs="Poppins"/>
          <w:sz w:val="20"/>
          <w:szCs w:val="20"/>
        </w:rPr>
        <w:lastRenderedPageBreak/>
        <w:t>700,000 fewer with ACA coverage from pre-enrollment verification (effective 2027)</w:t>
      </w:r>
    </w:p>
    <w:p w14:paraId="35015BAD" w14:textId="5F12900C" w:rsidR="006E69F4" w:rsidRPr="006E69F4" w:rsidRDefault="006E69F4" w:rsidP="00AF75C5">
      <w:pPr>
        <w:numPr>
          <w:ilvl w:val="0"/>
          <w:numId w:val="7"/>
        </w:numPr>
        <w:spacing w:before="120" w:after="0"/>
        <w:rPr>
          <w:rFonts w:ascii="Poppins" w:hAnsi="Poppins" w:cs="Poppins"/>
          <w:sz w:val="20"/>
          <w:szCs w:val="20"/>
        </w:rPr>
      </w:pPr>
      <w:r w:rsidRPr="006E69F4">
        <w:rPr>
          <w:rFonts w:ascii="Poppins" w:hAnsi="Poppins" w:cs="Poppins"/>
          <w:sz w:val="20"/>
          <w:szCs w:val="20"/>
        </w:rPr>
        <w:t>800,000 fewer insured from loss of premium tax credits for income-related special enrollment periods or for immigrants with pending eligibility verification</w:t>
      </w:r>
    </w:p>
    <w:p w14:paraId="02A145BF" w14:textId="5C846B3B" w:rsidR="006E69F4" w:rsidRPr="00A16B51" w:rsidRDefault="006E69F4" w:rsidP="00AF75C5">
      <w:pPr>
        <w:numPr>
          <w:ilvl w:val="0"/>
          <w:numId w:val="7"/>
        </w:numPr>
        <w:spacing w:before="120" w:after="0"/>
        <w:rPr>
          <w:rFonts w:ascii="Poppins" w:hAnsi="Poppins" w:cs="Poppins"/>
          <w:sz w:val="20"/>
          <w:szCs w:val="20"/>
        </w:rPr>
      </w:pPr>
      <w:r w:rsidRPr="006E69F4">
        <w:rPr>
          <w:rFonts w:ascii="Poppins" w:hAnsi="Poppins" w:cs="Poppins"/>
          <w:sz w:val="20"/>
          <w:szCs w:val="20"/>
        </w:rPr>
        <w:t>100,000 fewer insured from elimination of the ACA tax credit repayment cap</w:t>
      </w:r>
    </w:p>
    <w:p w14:paraId="37F38D99" w14:textId="493F2B89" w:rsidR="00501487" w:rsidRPr="00501487" w:rsidRDefault="00501487" w:rsidP="00AF75C5">
      <w:pPr>
        <w:spacing w:before="240" w:after="0"/>
        <w:rPr>
          <w:rFonts w:ascii="Poppins SemiBold" w:hAnsi="Poppins SemiBold" w:cs="Poppins SemiBold"/>
          <w:color w:val="4472C4" w:themeColor="accent1"/>
          <w:sz w:val="24"/>
          <w:szCs w:val="24"/>
        </w:rPr>
      </w:pPr>
      <w:r w:rsidRPr="00501487">
        <w:rPr>
          <w:rFonts w:ascii="Poppins SemiBold" w:hAnsi="Poppins SemiBold" w:cs="Poppins SemiBold"/>
          <w:b/>
          <w:bCs/>
          <w:color w:val="4472C4" w:themeColor="accent1"/>
          <w:sz w:val="24"/>
          <w:szCs w:val="24"/>
        </w:rPr>
        <w:t>Staff Cuts Leave AHRQ Incapacitated, Threatening Health Care Quality Efforts</w:t>
      </w:r>
    </w:p>
    <w:p w14:paraId="158BE693" w14:textId="0B528C4B" w:rsidR="00501487" w:rsidRPr="00501487" w:rsidRDefault="00501487" w:rsidP="00AF75C5">
      <w:pPr>
        <w:spacing w:before="120" w:after="0"/>
        <w:rPr>
          <w:rFonts w:ascii="Poppins" w:hAnsi="Poppins" w:cs="Poppins"/>
          <w:sz w:val="20"/>
          <w:szCs w:val="20"/>
        </w:rPr>
      </w:pPr>
      <w:r w:rsidRPr="00501487">
        <w:rPr>
          <w:rFonts w:ascii="Poppins" w:hAnsi="Poppins" w:cs="Poppins"/>
          <w:sz w:val="20"/>
          <w:szCs w:val="20"/>
        </w:rPr>
        <w:t>The </w:t>
      </w:r>
      <w:hyperlink r:id="rId20" w:tooltip="https://healthsperien.us19.list-manage.com/track/click?u=b80803827ec1d826bd16eace6&amp;id=f25cfc46e0&amp;e=02f9a79650" w:history="1">
        <w:r w:rsidRPr="00501487">
          <w:rPr>
            <w:rStyle w:val="Hyperlink"/>
            <w:rFonts w:ascii="Poppins" w:hAnsi="Poppins" w:cs="Poppins"/>
            <w:sz w:val="20"/>
            <w:szCs w:val="20"/>
          </w:rPr>
          <w:t>Agency for Healthcare Research and Quality</w:t>
        </w:r>
      </w:hyperlink>
      <w:r w:rsidRPr="00501487">
        <w:rPr>
          <w:rFonts w:ascii="Poppins" w:hAnsi="Poppins" w:cs="Poppins"/>
          <w:sz w:val="20"/>
          <w:szCs w:val="20"/>
        </w:rPr>
        <w:t xml:space="preserve"> (AHRQ) has been left significantly weakened after losing nearly 90% of its staff to layoffs and early retirements, impacting its ability to issue grants or support the U.S Preventive Services Task Force (USPSTF). Since AHRQ is the only federal agency to focus on quality improvement, experts fear that the agency’s incapacitation leaves a dangerous gap within the health care sector. These cuts, part of the broader ongoing HHS restructuring effort, have impacted rural and behavioral health initiatives as well as reduced grant funding. </w:t>
      </w:r>
      <w:r w:rsidR="00670013">
        <w:rPr>
          <w:rFonts w:ascii="Poppins" w:hAnsi="Poppins" w:cs="Poppins"/>
          <w:sz w:val="20"/>
          <w:szCs w:val="20"/>
        </w:rPr>
        <w:t>The</w:t>
      </w:r>
      <w:r w:rsidRPr="00501487">
        <w:rPr>
          <w:rFonts w:ascii="Poppins" w:hAnsi="Poppins" w:cs="Poppins"/>
          <w:sz w:val="20"/>
          <w:szCs w:val="20"/>
        </w:rPr>
        <w:t xml:space="preserve"> reductions will be further impacted by President Trump’s recent executive order that tightens oversight of grant making, by empowering political appointees to eliminate those that are deemed inefficient or not aligned with the policy priorities of the current administration.</w:t>
      </w:r>
    </w:p>
    <w:p w14:paraId="3B503F76" w14:textId="24333BA8" w:rsidR="00744EF9" w:rsidRPr="00744EF9" w:rsidRDefault="00744EF9" w:rsidP="00AF75C5">
      <w:pPr>
        <w:spacing w:before="240" w:after="0"/>
        <w:rPr>
          <w:rFonts w:ascii="Poppins SemiBold" w:hAnsi="Poppins SemiBold" w:cs="Poppins SemiBold"/>
          <w:color w:val="4472C4" w:themeColor="accent1"/>
          <w:sz w:val="24"/>
          <w:szCs w:val="24"/>
        </w:rPr>
      </w:pPr>
      <w:r w:rsidRPr="00744EF9">
        <w:rPr>
          <w:rFonts w:ascii="Poppins SemiBold" w:hAnsi="Poppins SemiBold" w:cs="Poppins SemiBold"/>
          <w:b/>
          <w:bCs/>
          <w:color w:val="4472C4" w:themeColor="accent1"/>
          <w:sz w:val="24"/>
          <w:szCs w:val="24"/>
        </w:rPr>
        <w:t>OCR Releases Updated HIPAA Privacy FAQs</w:t>
      </w:r>
    </w:p>
    <w:p w14:paraId="109F6378" w14:textId="02EA588D" w:rsidR="00744EF9" w:rsidRPr="00744EF9" w:rsidRDefault="00744EF9" w:rsidP="00AF75C5">
      <w:pPr>
        <w:spacing w:before="120" w:after="0"/>
        <w:rPr>
          <w:rFonts w:ascii="Poppins" w:hAnsi="Poppins" w:cs="Poppins"/>
          <w:sz w:val="20"/>
          <w:szCs w:val="20"/>
        </w:rPr>
      </w:pPr>
      <w:hyperlink r:id="rId21" w:tooltip="https://healthsperien.us19.list-manage.com/track/click?u=b80803827ec1d826bd16eace6&amp;id=f663fa71a2&amp;e=02f9a79650" w:history="1">
        <w:r w:rsidRPr="00744EF9">
          <w:rPr>
            <w:rStyle w:val="Hyperlink"/>
            <w:rFonts w:ascii="Poppins" w:hAnsi="Poppins" w:cs="Poppins"/>
            <w:sz w:val="20"/>
            <w:szCs w:val="20"/>
          </w:rPr>
          <w:t>In response</w:t>
        </w:r>
      </w:hyperlink>
      <w:r w:rsidRPr="00744EF9">
        <w:rPr>
          <w:rFonts w:ascii="Poppins" w:hAnsi="Poppins" w:cs="Poppins"/>
          <w:sz w:val="20"/>
          <w:szCs w:val="20"/>
        </w:rPr>
        <w:t xml:space="preserve"> to growing privacy concerns surrounding the Trump administration’s far-reaching interoperability efforts, the </w:t>
      </w:r>
      <w:r w:rsidR="00641EFE">
        <w:rPr>
          <w:rFonts w:ascii="Poppins" w:hAnsi="Poppins" w:cs="Poppins"/>
          <w:sz w:val="20"/>
          <w:szCs w:val="20"/>
        </w:rPr>
        <w:t xml:space="preserve">HHS </w:t>
      </w:r>
      <w:r w:rsidRPr="00744EF9">
        <w:rPr>
          <w:rFonts w:ascii="Poppins" w:hAnsi="Poppins" w:cs="Poppins"/>
          <w:sz w:val="20"/>
          <w:szCs w:val="20"/>
        </w:rPr>
        <w:t xml:space="preserve">Office for Civil Rights (OCR) released an updated Health Insurance Portability and Accountability Act (HIPAA) </w:t>
      </w:r>
      <w:r w:rsidR="00CA54F6">
        <w:rPr>
          <w:rFonts w:ascii="Poppins" w:hAnsi="Poppins" w:cs="Poppins"/>
          <w:sz w:val="20"/>
          <w:szCs w:val="20"/>
        </w:rPr>
        <w:t>Frequently Asked Questions (</w:t>
      </w:r>
      <w:r w:rsidRPr="00744EF9">
        <w:rPr>
          <w:rFonts w:ascii="Poppins" w:hAnsi="Poppins" w:cs="Poppins"/>
          <w:sz w:val="20"/>
          <w:szCs w:val="20"/>
        </w:rPr>
        <w:t>FAQ</w:t>
      </w:r>
      <w:r w:rsidR="00CA54F6">
        <w:rPr>
          <w:rFonts w:ascii="Poppins" w:hAnsi="Poppins" w:cs="Poppins"/>
          <w:sz w:val="20"/>
          <w:szCs w:val="20"/>
        </w:rPr>
        <w:t>) document</w:t>
      </w:r>
      <w:r w:rsidRPr="00744EF9">
        <w:rPr>
          <w:rFonts w:ascii="Poppins" w:hAnsi="Poppins" w:cs="Poppins"/>
          <w:sz w:val="20"/>
          <w:szCs w:val="20"/>
        </w:rPr>
        <w:t>. Th</w:t>
      </w:r>
      <w:r w:rsidR="00AF75C5">
        <w:rPr>
          <w:rFonts w:ascii="Poppins" w:hAnsi="Poppins" w:cs="Poppins"/>
          <w:sz w:val="20"/>
          <w:szCs w:val="20"/>
        </w:rPr>
        <w:t>e</w:t>
      </w:r>
      <w:r w:rsidRPr="00744EF9">
        <w:rPr>
          <w:rFonts w:ascii="Poppins" w:hAnsi="Poppins" w:cs="Poppins"/>
          <w:sz w:val="20"/>
          <w:szCs w:val="20"/>
        </w:rPr>
        <w:t xml:space="preserve"> guidance clarifies that covered entities can disclose personal health information (PHI) to participants in value-based care arrangements for treatment purposes without patient authorization</w:t>
      </w:r>
      <w:r w:rsidR="00AF75C5">
        <w:rPr>
          <w:rFonts w:ascii="Poppins" w:hAnsi="Poppins" w:cs="Poppins"/>
          <w:sz w:val="20"/>
          <w:szCs w:val="20"/>
        </w:rPr>
        <w:t xml:space="preserve"> as long as parties are providing care to the patient</w:t>
      </w:r>
      <w:r w:rsidRPr="00744EF9">
        <w:rPr>
          <w:rFonts w:ascii="Poppins" w:hAnsi="Poppins" w:cs="Poppins"/>
          <w:sz w:val="20"/>
          <w:szCs w:val="20"/>
        </w:rPr>
        <w:t>. This aligns with CMS initiatives to boost interoperability, prevent information blocking, and promote effective patient-centered data exchange.</w:t>
      </w:r>
    </w:p>
    <w:p w14:paraId="7A64079B" w14:textId="44C9C334" w:rsidR="00AD1EF9" w:rsidRPr="001B5460" w:rsidRDefault="00744EF9" w:rsidP="00AF75C5">
      <w:pPr>
        <w:spacing w:before="120" w:after="0"/>
        <w:rPr>
          <w:rFonts w:ascii="Poppins" w:hAnsi="Poppins" w:cs="Poppins"/>
          <w:sz w:val="20"/>
          <w:szCs w:val="20"/>
        </w:rPr>
      </w:pPr>
      <w:r w:rsidRPr="00744EF9">
        <w:rPr>
          <w:rFonts w:ascii="Poppins" w:hAnsi="Poppins" w:cs="Poppins"/>
          <w:sz w:val="20"/>
          <w:szCs w:val="20"/>
        </w:rPr>
        <w:t xml:space="preserve">The updated FAQ also confirms that patients have the right to access their health records and to request changes to inaccurate records. </w:t>
      </w:r>
      <w:r w:rsidR="00AF75C5">
        <w:rPr>
          <w:rFonts w:ascii="Poppins" w:hAnsi="Poppins" w:cs="Poppins"/>
          <w:sz w:val="20"/>
          <w:szCs w:val="20"/>
        </w:rPr>
        <w:t>A</w:t>
      </w:r>
      <w:r w:rsidRPr="00744EF9">
        <w:rPr>
          <w:rFonts w:ascii="Poppins" w:hAnsi="Poppins" w:cs="Poppins"/>
          <w:sz w:val="20"/>
          <w:szCs w:val="20"/>
        </w:rPr>
        <w:t xml:space="preserve">ccessible records include medical records, billing data, insurance details, lab results, </w:t>
      </w:r>
      <w:r w:rsidR="00AF75C5">
        <w:rPr>
          <w:rFonts w:ascii="Poppins" w:hAnsi="Poppins" w:cs="Poppins"/>
          <w:sz w:val="20"/>
          <w:szCs w:val="20"/>
        </w:rPr>
        <w:t>diagnostic images</w:t>
      </w:r>
      <w:r w:rsidRPr="00744EF9">
        <w:rPr>
          <w:rFonts w:ascii="Poppins" w:hAnsi="Poppins" w:cs="Poppins"/>
          <w:sz w:val="20"/>
          <w:szCs w:val="20"/>
        </w:rPr>
        <w:t>, wellness program info</w:t>
      </w:r>
      <w:r w:rsidR="00AF75C5">
        <w:rPr>
          <w:rFonts w:ascii="Poppins" w:hAnsi="Poppins" w:cs="Poppins"/>
          <w:sz w:val="20"/>
          <w:szCs w:val="20"/>
        </w:rPr>
        <w:t>rmation</w:t>
      </w:r>
      <w:r w:rsidRPr="00744EF9">
        <w:rPr>
          <w:rFonts w:ascii="Poppins" w:hAnsi="Poppins" w:cs="Poppins"/>
          <w:sz w:val="20"/>
          <w:szCs w:val="20"/>
        </w:rPr>
        <w:t>, treatment consent forms, and clinical notes but does not include psychotherapy notes.</w:t>
      </w:r>
    </w:p>
    <w:p w14:paraId="4D960EB1" w14:textId="77777777" w:rsidR="00240B8D" w:rsidRDefault="00240B8D" w:rsidP="00AF75C5">
      <w:pPr>
        <w:spacing w:before="320" w:after="0" w:line="240"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What’s on Tap</w:t>
      </w:r>
    </w:p>
    <w:p w14:paraId="67479101" w14:textId="1055F9E7" w:rsidR="00D86871" w:rsidRPr="00D86871" w:rsidRDefault="00C33BC2" w:rsidP="00AF75C5">
      <w:pPr>
        <w:spacing w:before="120" w:after="0" w:line="240" w:lineRule="auto"/>
        <w:rPr>
          <w:rFonts w:ascii="Poppins" w:hAnsi="Poppins" w:cs="Poppins"/>
          <w:sz w:val="20"/>
          <w:szCs w:val="20"/>
        </w:rPr>
      </w:pPr>
      <w:r w:rsidRPr="00C33BC2">
        <w:rPr>
          <w:rFonts w:ascii="Poppins" w:hAnsi="Poppins" w:cs="Poppins"/>
          <w:sz w:val="20"/>
          <w:szCs w:val="20"/>
        </w:rPr>
        <w:t>Last</w:t>
      </w:r>
      <w:r w:rsidR="00D86871">
        <w:rPr>
          <w:rFonts w:ascii="Poppins" w:hAnsi="Poppins" w:cs="Poppins"/>
          <w:sz w:val="20"/>
          <w:szCs w:val="20"/>
        </w:rPr>
        <w:t xml:space="preserve"> week, t</w:t>
      </w:r>
      <w:r w:rsidR="00D86871" w:rsidRPr="00D86871">
        <w:rPr>
          <w:rFonts w:ascii="Poppins" w:hAnsi="Poppins" w:cs="Poppins"/>
          <w:sz w:val="20"/>
          <w:szCs w:val="20"/>
        </w:rPr>
        <w:t>he Department of Health and Human Services (HHS) was </w:t>
      </w:r>
      <w:hyperlink r:id="rId22" w:tooltip="https://healthsperien.us19.list-manage.com/track/click?u=b80803827ec1d826bd16eace6&amp;id=486be6ef50&amp;e=02f9a79650" w:history="1">
        <w:r w:rsidR="00D86871" w:rsidRPr="00D86871">
          <w:rPr>
            <w:rStyle w:val="Hyperlink"/>
            <w:rFonts w:ascii="Poppins" w:hAnsi="Poppins" w:cs="Poppins"/>
            <w:sz w:val="20"/>
            <w:szCs w:val="20"/>
          </w:rPr>
          <w:t>ordered</w:t>
        </w:r>
      </w:hyperlink>
      <w:r w:rsidR="00D86871" w:rsidRPr="00D86871">
        <w:rPr>
          <w:rFonts w:ascii="Poppins" w:hAnsi="Poppins" w:cs="Poppins"/>
          <w:sz w:val="20"/>
          <w:szCs w:val="20"/>
        </w:rPr>
        <w:t xml:space="preserve"> by a federal judge to stop sharing the personal information of Medicaid beneficiaries with immigration officials late last week. HHS originally began sharing personal health information of the 79 million Medicaid enrollees with the Department of Homeland Security (DHS) – even though </w:t>
      </w:r>
      <w:r w:rsidR="00D86871" w:rsidRPr="00D86871">
        <w:rPr>
          <w:rFonts w:ascii="Poppins" w:hAnsi="Poppins" w:cs="Poppins"/>
          <w:sz w:val="20"/>
          <w:szCs w:val="20"/>
        </w:rPr>
        <w:lastRenderedPageBreak/>
        <w:t>undocumented immigrants are not covered under the program. The Centers for Medicare and Medicaid Services (CMS) then followed suit in July, sharing similar information with DHS. 20 states quickly filed lawsuit challenging the implementation of this data sharing. A federal judge in California sided granted a temporary order barring HHS from sharing personal data of Medicaid enrollees in the 20 states who joined in the lawsuit. The injunction is set to remain in effect until HHS outlines “reasonable decision making” for the data sharing policy.</w:t>
      </w:r>
    </w:p>
    <w:p w14:paraId="3F92BFEF" w14:textId="77777777" w:rsidR="00D86871" w:rsidRPr="00D86871" w:rsidRDefault="00D86871" w:rsidP="00AF75C5">
      <w:pPr>
        <w:spacing w:before="120" w:after="0" w:line="240" w:lineRule="auto"/>
        <w:rPr>
          <w:rFonts w:ascii="Poppins" w:hAnsi="Poppins" w:cs="Poppins"/>
          <w:sz w:val="20"/>
          <w:szCs w:val="20"/>
        </w:rPr>
      </w:pPr>
      <w:r w:rsidRPr="00D86871">
        <w:rPr>
          <w:rFonts w:ascii="Poppins" w:hAnsi="Poppins" w:cs="Poppins"/>
          <w:sz w:val="20"/>
          <w:szCs w:val="20"/>
        </w:rPr>
        <w:t>Although two more weeks of the August recess remains for Congress, </w:t>
      </w:r>
      <w:hyperlink r:id="rId23" w:tooltip="https://healthsperien.us19.list-manage.com/track/click?u=b80803827ec1d826bd16eace6&amp;id=6a4af22d29&amp;e=02f9a79650" w:history="1">
        <w:r w:rsidRPr="00D86871">
          <w:rPr>
            <w:rStyle w:val="Hyperlink"/>
            <w:rFonts w:ascii="Poppins" w:hAnsi="Poppins" w:cs="Poppins"/>
            <w:sz w:val="20"/>
            <w:szCs w:val="20"/>
          </w:rPr>
          <w:t>intra-party feuding</w:t>
        </w:r>
      </w:hyperlink>
      <w:r w:rsidRPr="00D86871">
        <w:rPr>
          <w:rFonts w:ascii="Poppins" w:hAnsi="Poppins" w:cs="Poppins"/>
          <w:sz w:val="20"/>
          <w:szCs w:val="20"/>
        </w:rPr>
        <w:t> already seems to be brewing among Republicans ahead of the expiration of government funding on September 30</w:t>
      </w:r>
      <w:r w:rsidRPr="00D86871">
        <w:rPr>
          <w:rFonts w:ascii="Poppins" w:hAnsi="Poppins" w:cs="Poppins"/>
          <w:sz w:val="20"/>
          <w:szCs w:val="20"/>
          <w:vertAlign w:val="superscript"/>
        </w:rPr>
        <w:t>th</w:t>
      </w:r>
      <w:r w:rsidRPr="00D86871">
        <w:rPr>
          <w:rFonts w:ascii="Poppins" w:hAnsi="Poppins" w:cs="Poppins"/>
          <w:sz w:val="20"/>
          <w:szCs w:val="20"/>
        </w:rPr>
        <w:t>. The conflict centers around the utilization of congressional earmarks – also known as congressionally directed spending. Many fiscal hawks are concerned that the return of earmarks could be seen as Congress reverting to an era of pork-barrel legislation and also want the Trump Administration to have more autonomy in allocating the funding. Some Republicans, like Senator Mike Lee (R-UT) have argued that earmarks are still prohibited by Senate Republican conference rules as Republicans voted for a permanent ban on earmarks in 2019. However, earmarks have already been embedded in FY 2026 spendings bills.</w:t>
      </w:r>
    </w:p>
    <w:p w14:paraId="43E9E4D8" w14:textId="539932F7" w:rsidR="00C33BC2" w:rsidRPr="00D86871" w:rsidRDefault="00D86871" w:rsidP="00AF75C5">
      <w:pPr>
        <w:spacing w:before="120" w:after="0" w:line="240" w:lineRule="auto"/>
        <w:rPr>
          <w:rFonts w:ascii="Poppins" w:hAnsi="Poppins" w:cs="Poppins"/>
          <w:sz w:val="20"/>
          <w:szCs w:val="20"/>
        </w:rPr>
      </w:pPr>
      <w:r w:rsidRPr="00D86871">
        <w:rPr>
          <w:rFonts w:ascii="Poppins" w:hAnsi="Poppins" w:cs="Poppins"/>
          <w:sz w:val="20"/>
          <w:szCs w:val="20"/>
        </w:rPr>
        <w:t>Senate Appropriations Committee Chair Susan Collins (R-ME) has drawn the ire of some Republicans after it was </w:t>
      </w:r>
      <w:hyperlink r:id="rId24" w:tooltip="https://healthsperien.us19.list-manage.com/track/click?u=b80803827ec1d826bd16eace6&amp;id=a55d3dd423&amp;e=02f9a79650" w:history="1">
        <w:r w:rsidRPr="00D86871">
          <w:rPr>
            <w:rStyle w:val="Hyperlink"/>
            <w:rFonts w:ascii="Poppins" w:hAnsi="Poppins" w:cs="Poppins"/>
            <w:sz w:val="20"/>
            <w:szCs w:val="20"/>
          </w:rPr>
          <w:t>revealed</w:t>
        </w:r>
      </w:hyperlink>
      <w:r w:rsidRPr="00D86871">
        <w:rPr>
          <w:rFonts w:ascii="Poppins" w:hAnsi="Poppins" w:cs="Poppins"/>
          <w:sz w:val="20"/>
          <w:szCs w:val="20"/>
        </w:rPr>
        <w:t> that she had loaded more than $810 million in directed spending for Maine under the bills crafted by her committee. The conflict among conservative lawmakers does not bode well for Republican leadership, who will have less than a month upon their return to Capitol Hill to achieve consensus on funding levels before the looming September 30</w:t>
      </w:r>
      <w:r w:rsidRPr="00D86871">
        <w:rPr>
          <w:rFonts w:ascii="Poppins" w:hAnsi="Poppins" w:cs="Poppins"/>
          <w:sz w:val="20"/>
          <w:szCs w:val="20"/>
          <w:vertAlign w:val="superscript"/>
        </w:rPr>
        <w:t>th</w:t>
      </w:r>
      <w:r w:rsidRPr="00D86871">
        <w:rPr>
          <w:rFonts w:ascii="Poppins" w:hAnsi="Poppins" w:cs="Poppins"/>
          <w:sz w:val="20"/>
          <w:szCs w:val="20"/>
        </w:rPr>
        <w:t> funding deadline. Unlike the recent reconciliation proceedings that produced the </w:t>
      </w:r>
      <w:r w:rsidRPr="00D86871">
        <w:rPr>
          <w:rFonts w:ascii="Poppins" w:hAnsi="Poppins" w:cs="Poppins"/>
          <w:i/>
          <w:iCs/>
          <w:sz w:val="20"/>
          <w:szCs w:val="20"/>
        </w:rPr>
        <w:t>One Big Beautiful Bill Act (OBBBA)</w:t>
      </w:r>
      <w:r w:rsidRPr="00D86871">
        <w:rPr>
          <w:rFonts w:ascii="Poppins" w:hAnsi="Poppins" w:cs="Poppins"/>
          <w:sz w:val="20"/>
          <w:szCs w:val="20"/>
        </w:rPr>
        <w:t>, the filibuster can be leveraged in funding negotiations, requiring Republicans to gain the support of some Democrats to clear the sixty-vote threshold and invoke cloture. This uncertainty comes as some House GOP hardliners and Republican leaders </w:t>
      </w:r>
      <w:hyperlink r:id="rId25" w:tooltip="https://healthsperien.us19.list-manage.com/track/click?u=b80803827ec1d826bd16eace6&amp;id=7e5d873c52&amp;e=02f9a79650" w:history="1">
        <w:r w:rsidRPr="00D86871">
          <w:rPr>
            <w:rStyle w:val="Hyperlink"/>
            <w:rFonts w:ascii="Poppins" w:hAnsi="Poppins" w:cs="Poppins"/>
            <w:sz w:val="20"/>
            <w:szCs w:val="20"/>
          </w:rPr>
          <w:t>consider</w:t>
        </w:r>
      </w:hyperlink>
      <w:r w:rsidRPr="00D86871">
        <w:rPr>
          <w:rFonts w:ascii="Poppins" w:hAnsi="Poppins" w:cs="Poppins"/>
          <w:sz w:val="20"/>
          <w:szCs w:val="20"/>
        </w:rPr>
        <w:t> a second party-line reconciliation package. The Republican Study Committee – a group composed of 189 House conservatives – hosted influential members of the Paragon Health Institute at a staff briefing to discuss further cuts to Medicaid spending. Paragon was one of the most influential external stakeholders in driving the sweeping cuts to Medicaid via the OBBBA.</w:t>
      </w:r>
    </w:p>
    <w:p w14:paraId="2CCE96E8" w14:textId="77777777" w:rsidR="003E4657" w:rsidRDefault="003E4657" w:rsidP="00AF75C5">
      <w:pPr>
        <w:spacing w:before="320" w:after="0" w:line="240"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Upcoming Events</w:t>
      </w:r>
    </w:p>
    <w:p w14:paraId="6AF3C703" w14:textId="77777777" w:rsidR="0008365C" w:rsidRPr="0008365C" w:rsidRDefault="0008365C" w:rsidP="00AF75C5">
      <w:pPr>
        <w:numPr>
          <w:ilvl w:val="0"/>
          <w:numId w:val="3"/>
        </w:numPr>
        <w:spacing w:before="120" w:after="0"/>
        <w:rPr>
          <w:rFonts w:ascii="Poppins" w:hAnsi="Poppins" w:cs="Poppins"/>
          <w:sz w:val="20"/>
          <w:szCs w:val="20"/>
        </w:rPr>
      </w:pPr>
      <w:r w:rsidRPr="0008365C">
        <w:rPr>
          <w:rFonts w:ascii="Poppins" w:hAnsi="Poppins" w:cs="Poppins"/>
          <w:sz w:val="20"/>
          <w:szCs w:val="20"/>
        </w:rPr>
        <w:t>Senate: Out of session</w:t>
      </w:r>
    </w:p>
    <w:p w14:paraId="74E22989" w14:textId="77777777" w:rsidR="0008365C" w:rsidRPr="0008365C" w:rsidRDefault="0008365C" w:rsidP="00AF75C5">
      <w:pPr>
        <w:numPr>
          <w:ilvl w:val="0"/>
          <w:numId w:val="3"/>
        </w:numPr>
        <w:spacing w:before="120" w:after="0"/>
        <w:rPr>
          <w:rFonts w:ascii="Poppins" w:hAnsi="Poppins" w:cs="Poppins"/>
          <w:sz w:val="20"/>
          <w:szCs w:val="20"/>
        </w:rPr>
      </w:pPr>
      <w:r w:rsidRPr="0008365C">
        <w:rPr>
          <w:rFonts w:ascii="Poppins" w:hAnsi="Poppins" w:cs="Poppins"/>
          <w:sz w:val="20"/>
          <w:szCs w:val="20"/>
        </w:rPr>
        <w:t>House: Out of session</w:t>
      </w:r>
    </w:p>
    <w:p w14:paraId="2DF047CF" w14:textId="5A8329A9" w:rsidR="00B0405D" w:rsidRPr="0008365C" w:rsidRDefault="0008365C" w:rsidP="00AF75C5">
      <w:pPr>
        <w:numPr>
          <w:ilvl w:val="0"/>
          <w:numId w:val="3"/>
        </w:numPr>
        <w:spacing w:before="120" w:after="0"/>
        <w:rPr>
          <w:rFonts w:ascii="Poppins" w:hAnsi="Poppins" w:cs="Poppins"/>
          <w:sz w:val="20"/>
          <w:szCs w:val="20"/>
        </w:rPr>
      </w:pPr>
      <w:r w:rsidRPr="0008365C">
        <w:rPr>
          <w:rFonts w:ascii="Poppins" w:eastAsia="Times New Roman" w:hAnsi="Poppins" w:cs="Poppins"/>
          <w:i/>
          <w:iCs/>
          <w:color w:val="222222"/>
          <w:kern w:val="0"/>
          <w:sz w:val="20"/>
          <w:szCs w:val="20"/>
          <w:bdr w:val="none" w:sz="0" w:space="0" w:color="auto" w:frame="1"/>
          <w14:ligatures w14:val="none"/>
        </w:rPr>
        <w:t>Regular congressional activity will likely resume following the August recess on September 2</w:t>
      </w:r>
      <w:r w:rsidRPr="0008365C">
        <w:rPr>
          <w:rFonts w:ascii="Poppins" w:eastAsia="Times New Roman" w:hAnsi="Poppins" w:cs="Poppins"/>
          <w:i/>
          <w:iCs/>
          <w:color w:val="222222"/>
          <w:kern w:val="0"/>
          <w:sz w:val="20"/>
          <w:szCs w:val="20"/>
          <w:bdr w:val="none" w:sz="0" w:space="0" w:color="auto" w:frame="1"/>
          <w:vertAlign w:val="superscript"/>
          <w14:ligatures w14:val="none"/>
        </w:rPr>
        <w:t>nd</w:t>
      </w:r>
    </w:p>
    <w:sectPr w:rsidR="00B0405D" w:rsidRPr="0008365C">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EC95C" w14:textId="77777777" w:rsidR="000C28FB" w:rsidRDefault="000C28FB" w:rsidP="00715EA6">
      <w:pPr>
        <w:spacing w:after="0" w:line="240" w:lineRule="auto"/>
      </w:pPr>
      <w:r>
        <w:separator/>
      </w:r>
    </w:p>
  </w:endnote>
  <w:endnote w:type="continuationSeparator" w:id="0">
    <w:p w14:paraId="5FA0DDCD" w14:textId="77777777" w:rsidR="000C28FB" w:rsidRDefault="000C28FB"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1F5CB" w14:textId="77777777" w:rsidR="000C28FB" w:rsidRDefault="000C28FB" w:rsidP="00715EA6">
      <w:pPr>
        <w:spacing w:after="0" w:line="240" w:lineRule="auto"/>
      </w:pPr>
      <w:r>
        <w:separator/>
      </w:r>
    </w:p>
  </w:footnote>
  <w:footnote w:type="continuationSeparator" w:id="0">
    <w:p w14:paraId="14F2135F" w14:textId="77777777" w:rsidR="000C28FB" w:rsidRDefault="000C28FB"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C39FC"/>
    <w:multiLevelType w:val="multilevel"/>
    <w:tmpl w:val="71F4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0763C"/>
    <w:multiLevelType w:val="multilevel"/>
    <w:tmpl w:val="7AAC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81321B"/>
    <w:multiLevelType w:val="multilevel"/>
    <w:tmpl w:val="F7B69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C6014D"/>
    <w:multiLevelType w:val="multilevel"/>
    <w:tmpl w:val="0D8C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FD53AE"/>
    <w:multiLevelType w:val="multilevel"/>
    <w:tmpl w:val="EFC01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FE6DE4"/>
    <w:multiLevelType w:val="multilevel"/>
    <w:tmpl w:val="0488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D622CD"/>
    <w:multiLevelType w:val="multilevel"/>
    <w:tmpl w:val="9610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37193C"/>
    <w:multiLevelType w:val="multilevel"/>
    <w:tmpl w:val="7BAC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2C3594"/>
    <w:multiLevelType w:val="multilevel"/>
    <w:tmpl w:val="53F8D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004C70"/>
    <w:multiLevelType w:val="multilevel"/>
    <w:tmpl w:val="4FEE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6F0BD3"/>
    <w:multiLevelType w:val="multilevel"/>
    <w:tmpl w:val="91F8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FA4AA2"/>
    <w:multiLevelType w:val="multilevel"/>
    <w:tmpl w:val="FE3E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D82F23"/>
    <w:multiLevelType w:val="multilevel"/>
    <w:tmpl w:val="124E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D15773"/>
    <w:multiLevelType w:val="multilevel"/>
    <w:tmpl w:val="55227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2373E0"/>
    <w:multiLevelType w:val="multilevel"/>
    <w:tmpl w:val="3706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000F91"/>
    <w:multiLevelType w:val="multilevel"/>
    <w:tmpl w:val="DCFC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7318833">
    <w:abstractNumId w:val="14"/>
  </w:num>
  <w:num w:numId="2" w16cid:durableId="1750274782">
    <w:abstractNumId w:val="9"/>
  </w:num>
  <w:num w:numId="3" w16cid:durableId="534511944">
    <w:abstractNumId w:val="0"/>
  </w:num>
  <w:num w:numId="4" w16cid:durableId="293995548">
    <w:abstractNumId w:val="15"/>
  </w:num>
  <w:num w:numId="5" w16cid:durableId="1307081914">
    <w:abstractNumId w:val="1"/>
  </w:num>
  <w:num w:numId="6" w16cid:durableId="575751116">
    <w:abstractNumId w:val="7"/>
  </w:num>
  <w:num w:numId="7" w16cid:durableId="787502890">
    <w:abstractNumId w:val="8"/>
  </w:num>
  <w:num w:numId="8" w16cid:durableId="2123373755">
    <w:abstractNumId w:val="10"/>
  </w:num>
  <w:num w:numId="9" w16cid:durableId="436949996">
    <w:abstractNumId w:val="13"/>
  </w:num>
  <w:num w:numId="10" w16cid:durableId="1943224097">
    <w:abstractNumId w:val="5"/>
  </w:num>
  <w:num w:numId="11" w16cid:durableId="1200358465">
    <w:abstractNumId w:val="2"/>
  </w:num>
  <w:num w:numId="12" w16cid:durableId="377556755">
    <w:abstractNumId w:val="6"/>
  </w:num>
  <w:num w:numId="13" w16cid:durableId="252935392">
    <w:abstractNumId w:val="12"/>
  </w:num>
  <w:num w:numId="14" w16cid:durableId="333460260">
    <w:abstractNumId w:val="11"/>
  </w:num>
  <w:num w:numId="15" w16cid:durableId="1253707552">
    <w:abstractNumId w:val="3"/>
  </w:num>
  <w:num w:numId="16" w16cid:durableId="702629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40849"/>
    <w:rsid w:val="00054AF5"/>
    <w:rsid w:val="00067BD7"/>
    <w:rsid w:val="00071593"/>
    <w:rsid w:val="0008365C"/>
    <w:rsid w:val="000C2216"/>
    <w:rsid w:val="000C28FB"/>
    <w:rsid w:val="0012060C"/>
    <w:rsid w:val="00125D4B"/>
    <w:rsid w:val="00140A74"/>
    <w:rsid w:val="0014642A"/>
    <w:rsid w:val="00160A0B"/>
    <w:rsid w:val="001658A8"/>
    <w:rsid w:val="00186FE1"/>
    <w:rsid w:val="001955DE"/>
    <w:rsid w:val="001B1091"/>
    <w:rsid w:val="001B5460"/>
    <w:rsid w:val="001D038C"/>
    <w:rsid w:val="001E033A"/>
    <w:rsid w:val="001E5A89"/>
    <w:rsid w:val="001F26D1"/>
    <w:rsid w:val="0022377F"/>
    <w:rsid w:val="00226C83"/>
    <w:rsid w:val="00236A3B"/>
    <w:rsid w:val="00237E61"/>
    <w:rsid w:val="00240B8D"/>
    <w:rsid w:val="00273AA3"/>
    <w:rsid w:val="00276007"/>
    <w:rsid w:val="002A2343"/>
    <w:rsid w:val="002C47BF"/>
    <w:rsid w:val="00307DA2"/>
    <w:rsid w:val="0037189D"/>
    <w:rsid w:val="003E4657"/>
    <w:rsid w:val="003F6DE9"/>
    <w:rsid w:val="0041761C"/>
    <w:rsid w:val="00422EE0"/>
    <w:rsid w:val="00424DCC"/>
    <w:rsid w:val="00461178"/>
    <w:rsid w:val="004616F6"/>
    <w:rsid w:val="00477265"/>
    <w:rsid w:val="004B1522"/>
    <w:rsid w:val="004D7AF3"/>
    <w:rsid w:val="004E6231"/>
    <w:rsid w:val="004F23F4"/>
    <w:rsid w:val="0050121B"/>
    <w:rsid w:val="00501286"/>
    <w:rsid w:val="00501487"/>
    <w:rsid w:val="00520875"/>
    <w:rsid w:val="005266EA"/>
    <w:rsid w:val="0053438E"/>
    <w:rsid w:val="00545265"/>
    <w:rsid w:val="00583599"/>
    <w:rsid w:val="005C43CD"/>
    <w:rsid w:val="005C73F4"/>
    <w:rsid w:val="005F1CA9"/>
    <w:rsid w:val="0060361D"/>
    <w:rsid w:val="0060533F"/>
    <w:rsid w:val="00613287"/>
    <w:rsid w:val="00641EFE"/>
    <w:rsid w:val="00670013"/>
    <w:rsid w:val="00671966"/>
    <w:rsid w:val="006767ED"/>
    <w:rsid w:val="006A4590"/>
    <w:rsid w:val="006C4838"/>
    <w:rsid w:val="006E69F4"/>
    <w:rsid w:val="006E7776"/>
    <w:rsid w:val="006F5EB8"/>
    <w:rsid w:val="00715EA6"/>
    <w:rsid w:val="007249ED"/>
    <w:rsid w:val="00744EF9"/>
    <w:rsid w:val="00751BEF"/>
    <w:rsid w:val="0077089F"/>
    <w:rsid w:val="007A1E2F"/>
    <w:rsid w:val="007A6B55"/>
    <w:rsid w:val="007B537A"/>
    <w:rsid w:val="007C0F9E"/>
    <w:rsid w:val="008043ED"/>
    <w:rsid w:val="00825558"/>
    <w:rsid w:val="00836DA3"/>
    <w:rsid w:val="00862612"/>
    <w:rsid w:val="008766E6"/>
    <w:rsid w:val="00886B52"/>
    <w:rsid w:val="008D009D"/>
    <w:rsid w:val="008D0D4B"/>
    <w:rsid w:val="008D1ECE"/>
    <w:rsid w:val="008D66B0"/>
    <w:rsid w:val="00911861"/>
    <w:rsid w:val="00913872"/>
    <w:rsid w:val="009336D0"/>
    <w:rsid w:val="009416C0"/>
    <w:rsid w:val="00944B2D"/>
    <w:rsid w:val="00960862"/>
    <w:rsid w:val="0097202C"/>
    <w:rsid w:val="009C4BB8"/>
    <w:rsid w:val="009C4BFF"/>
    <w:rsid w:val="009F1BDD"/>
    <w:rsid w:val="00A16B51"/>
    <w:rsid w:val="00A25316"/>
    <w:rsid w:val="00A2791C"/>
    <w:rsid w:val="00A454EB"/>
    <w:rsid w:val="00A56049"/>
    <w:rsid w:val="00A7138F"/>
    <w:rsid w:val="00A76DD2"/>
    <w:rsid w:val="00AB0B1A"/>
    <w:rsid w:val="00AC1A9D"/>
    <w:rsid w:val="00AD1EF9"/>
    <w:rsid w:val="00AE70F1"/>
    <w:rsid w:val="00AF75C5"/>
    <w:rsid w:val="00B0405D"/>
    <w:rsid w:val="00B053A0"/>
    <w:rsid w:val="00B10EC3"/>
    <w:rsid w:val="00B26D5B"/>
    <w:rsid w:val="00B43C5D"/>
    <w:rsid w:val="00B71C89"/>
    <w:rsid w:val="00B81FCA"/>
    <w:rsid w:val="00B8214D"/>
    <w:rsid w:val="00B864D1"/>
    <w:rsid w:val="00B92207"/>
    <w:rsid w:val="00BD0552"/>
    <w:rsid w:val="00BF2775"/>
    <w:rsid w:val="00BF3B73"/>
    <w:rsid w:val="00C1213E"/>
    <w:rsid w:val="00C33BC2"/>
    <w:rsid w:val="00C544F1"/>
    <w:rsid w:val="00C5703C"/>
    <w:rsid w:val="00C6341F"/>
    <w:rsid w:val="00C739D8"/>
    <w:rsid w:val="00C76688"/>
    <w:rsid w:val="00CA54F6"/>
    <w:rsid w:val="00CB43A0"/>
    <w:rsid w:val="00CB7F1C"/>
    <w:rsid w:val="00CC4A40"/>
    <w:rsid w:val="00CE4669"/>
    <w:rsid w:val="00CF006A"/>
    <w:rsid w:val="00D34CDB"/>
    <w:rsid w:val="00D40CD9"/>
    <w:rsid w:val="00D72894"/>
    <w:rsid w:val="00D74491"/>
    <w:rsid w:val="00D86871"/>
    <w:rsid w:val="00DE3D45"/>
    <w:rsid w:val="00E13EB5"/>
    <w:rsid w:val="00E24601"/>
    <w:rsid w:val="00E30E4D"/>
    <w:rsid w:val="00E31C5D"/>
    <w:rsid w:val="00E56161"/>
    <w:rsid w:val="00E579A4"/>
    <w:rsid w:val="00E71FD6"/>
    <w:rsid w:val="00E81A15"/>
    <w:rsid w:val="00E9372E"/>
    <w:rsid w:val="00EB40E9"/>
    <w:rsid w:val="00EB6B4C"/>
    <w:rsid w:val="00EC3C6E"/>
    <w:rsid w:val="00ED29F3"/>
    <w:rsid w:val="00ED6818"/>
    <w:rsid w:val="00EE11BE"/>
    <w:rsid w:val="00F1055E"/>
    <w:rsid w:val="00F23C5C"/>
    <w:rsid w:val="00F448DC"/>
    <w:rsid w:val="00F567CA"/>
    <w:rsid w:val="00F57DAE"/>
    <w:rsid w:val="00F836D0"/>
    <w:rsid w:val="00F84A41"/>
    <w:rsid w:val="00F97FFA"/>
    <w:rsid w:val="00FA4B2F"/>
    <w:rsid w:val="00FA6E23"/>
    <w:rsid w:val="00FB21CF"/>
    <w:rsid w:val="00FB453E"/>
    <w:rsid w:val="00FD0384"/>
    <w:rsid w:val="00FF68C3"/>
    <w:rsid w:val="2565C836"/>
    <w:rsid w:val="3DD66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9E1258A4-187B-4729-A133-579304EC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 w:type="character" w:styleId="Emphasis">
    <w:name w:val="Emphasis"/>
    <w:basedOn w:val="DefaultParagraphFont"/>
    <w:uiPriority w:val="20"/>
    <w:qFormat/>
    <w:rsid w:val="0008365C"/>
    <w:rPr>
      <w:i/>
      <w:iCs/>
    </w:rPr>
  </w:style>
  <w:style w:type="paragraph" w:styleId="NormalWeb">
    <w:name w:val="Normal (Web)"/>
    <w:basedOn w:val="Normal"/>
    <w:uiPriority w:val="99"/>
    <w:semiHidden/>
    <w:unhideWhenUsed/>
    <w:rsid w:val="0047726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mc-toc-title">
    <w:name w:val="x_mc-toc-title"/>
    <w:basedOn w:val="DefaultParagraphFont"/>
    <w:rsid w:val="00477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000060">
      <w:bodyDiv w:val="1"/>
      <w:marLeft w:val="0"/>
      <w:marRight w:val="0"/>
      <w:marTop w:val="0"/>
      <w:marBottom w:val="0"/>
      <w:divBdr>
        <w:top w:val="none" w:sz="0" w:space="0" w:color="auto"/>
        <w:left w:val="none" w:sz="0" w:space="0" w:color="auto"/>
        <w:bottom w:val="none" w:sz="0" w:space="0" w:color="auto"/>
        <w:right w:val="none" w:sz="0" w:space="0" w:color="auto"/>
      </w:divBdr>
    </w:div>
    <w:div w:id="283736117">
      <w:bodyDiv w:val="1"/>
      <w:marLeft w:val="0"/>
      <w:marRight w:val="0"/>
      <w:marTop w:val="0"/>
      <w:marBottom w:val="0"/>
      <w:divBdr>
        <w:top w:val="none" w:sz="0" w:space="0" w:color="auto"/>
        <w:left w:val="none" w:sz="0" w:space="0" w:color="auto"/>
        <w:bottom w:val="none" w:sz="0" w:space="0" w:color="auto"/>
        <w:right w:val="none" w:sz="0" w:space="0" w:color="auto"/>
      </w:divBdr>
    </w:div>
    <w:div w:id="325863605">
      <w:bodyDiv w:val="1"/>
      <w:marLeft w:val="0"/>
      <w:marRight w:val="0"/>
      <w:marTop w:val="0"/>
      <w:marBottom w:val="0"/>
      <w:divBdr>
        <w:top w:val="none" w:sz="0" w:space="0" w:color="auto"/>
        <w:left w:val="none" w:sz="0" w:space="0" w:color="auto"/>
        <w:bottom w:val="none" w:sz="0" w:space="0" w:color="auto"/>
        <w:right w:val="none" w:sz="0" w:space="0" w:color="auto"/>
      </w:divBdr>
    </w:div>
    <w:div w:id="394088428">
      <w:bodyDiv w:val="1"/>
      <w:marLeft w:val="0"/>
      <w:marRight w:val="0"/>
      <w:marTop w:val="0"/>
      <w:marBottom w:val="0"/>
      <w:divBdr>
        <w:top w:val="none" w:sz="0" w:space="0" w:color="auto"/>
        <w:left w:val="none" w:sz="0" w:space="0" w:color="auto"/>
        <w:bottom w:val="none" w:sz="0" w:space="0" w:color="auto"/>
        <w:right w:val="none" w:sz="0" w:space="0" w:color="auto"/>
      </w:divBdr>
    </w:div>
    <w:div w:id="454644729">
      <w:bodyDiv w:val="1"/>
      <w:marLeft w:val="0"/>
      <w:marRight w:val="0"/>
      <w:marTop w:val="0"/>
      <w:marBottom w:val="0"/>
      <w:divBdr>
        <w:top w:val="none" w:sz="0" w:space="0" w:color="auto"/>
        <w:left w:val="none" w:sz="0" w:space="0" w:color="auto"/>
        <w:bottom w:val="none" w:sz="0" w:space="0" w:color="auto"/>
        <w:right w:val="none" w:sz="0" w:space="0" w:color="auto"/>
      </w:divBdr>
    </w:div>
    <w:div w:id="635795254">
      <w:bodyDiv w:val="1"/>
      <w:marLeft w:val="0"/>
      <w:marRight w:val="0"/>
      <w:marTop w:val="0"/>
      <w:marBottom w:val="0"/>
      <w:divBdr>
        <w:top w:val="none" w:sz="0" w:space="0" w:color="auto"/>
        <w:left w:val="none" w:sz="0" w:space="0" w:color="auto"/>
        <w:bottom w:val="none" w:sz="0" w:space="0" w:color="auto"/>
        <w:right w:val="none" w:sz="0" w:space="0" w:color="auto"/>
      </w:divBdr>
    </w:div>
    <w:div w:id="906036754">
      <w:bodyDiv w:val="1"/>
      <w:marLeft w:val="0"/>
      <w:marRight w:val="0"/>
      <w:marTop w:val="0"/>
      <w:marBottom w:val="0"/>
      <w:divBdr>
        <w:top w:val="none" w:sz="0" w:space="0" w:color="auto"/>
        <w:left w:val="none" w:sz="0" w:space="0" w:color="auto"/>
        <w:bottom w:val="none" w:sz="0" w:space="0" w:color="auto"/>
        <w:right w:val="none" w:sz="0" w:space="0" w:color="auto"/>
      </w:divBdr>
    </w:div>
    <w:div w:id="994794079">
      <w:bodyDiv w:val="1"/>
      <w:marLeft w:val="0"/>
      <w:marRight w:val="0"/>
      <w:marTop w:val="0"/>
      <w:marBottom w:val="0"/>
      <w:divBdr>
        <w:top w:val="none" w:sz="0" w:space="0" w:color="auto"/>
        <w:left w:val="none" w:sz="0" w:space="0" w:color="auto"/>
        <w:bottom w:val="none" w:sz="0" w:space="0" w:color="auto"/>
        <w:right w:val="none" w:sz="0" w:space="0" w:color="auto"/>
      </w:divBdr>
    </w:div>
    <w:div w:id="1193960305">
      <w:bodyDiv w:val="1"/>
      <w:marLeft w:val="0"/>
      <w:marRight w:val="0"/>
      <w:marTop w:val="0"/>
      <w:marBottom w:val="0"/>
      <w:divBdr>
        <w:top w:val="none" w:sz="0" w:space="0" w:color="auto"/>
        <w:left w:val="none" w:sz="0" w:space="0" w:color="auto"/>
        <w:bottom w:val="none" w:sz="0" w:space="0" w:color="auto"/>
        <w:right w:val="none" w:sz="0" w:space="0" w:color="auto"/>
      </w:divBdr>
    </w:div>
    <w:div w:id="1420180236">
      <w:bodyDiv w:val="1"/>
      <w:marLeft w:val="0"/>
      <w:marRight w:val="0"/>
      <w:marTop w:val="0"/>
      <w:marBottom w:val="0"/>
      <w:divBdr>
        <w:top w:val="none" w:sz="0" w:space="0" w:color="auto"/>
        <w:left w:val="none" w:sz="0" w:space="0" w:color="auto"/>
        <w:bottom w:val="none" w:sz="0" w:space="0" w:color="auto"/>
        <w:right w:val="none" w:sz="0" w:space="0" w:color="auto"/>
      </w:divBdr>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425109">
      <w:bodyDiv w:val="1"/>
      <w:marLeft w:val="0"/>
      <w:marRight w:val="0"/>
      <w:marTop w:val="0"/>
      <w:marBottom w:val="0"/>
      <w:divBdr>
        <w:top w:val="none" w:sz="0" w:space="0" w:color="auto"/>
        <w:left w:val="none" w:sz="0" w:space="0" w:color="auto"/>
        <w:bottom w:val="none" w:sz="0" w:space="0" w:color="auto"/>
        <w:right w:val="none" w:sz="0" w:space="0" w:color="auto"/>
      </w:divBdr>
    </w:div>
    <w:div w:id="1566574321">
      <w:bodyDiv w:val="1"/>
      <w:marLeft w:val="0"/>
      <w:marRight w:val="0"/>
      <w:marTop w:val="0"/>
      <w:marBottom w:val="0"/>
      <w:divBdr>
        <w:top w:val="none" w:sz="0" w:space="0" w:color="auto"/>
        <w:left w:val="none" w:sz="0" w:space="0" w:color="auto"/>
        <w:bottom w:val="none" w:sz="0" w:space="0" w:color="auto"/>
        <w:right w:val="none" w:sz="0" w:space="0" w:color="auto"/>
      </w:divBdr>
    </w:div>
    <w:div w:id="1594163387">
      <w:bodyDiv w:val="1"/>
      <w:marLeft w:val="0"/>
      <w:marRight w:val="0"/>
      <w:marTop w:val="0"/>
      <w:marBottom w:val="0"/>
      <w:divBdr>
        <w:top w:val="none" w:sz="0" w:space="0" w:color="auto"/>
        <w:left w:val="none" w:sz="0" w:space="0" w:color="auto"/>
        <w:bottom w:val="none" w:sz="0" w:space="0" w:color="auto"/>
        <w:right w:val="none" w:sz="0" w:space="0" w:color="auto"/>
      </w:divBdr>
    </w:div>
    <w:div w:id="1690643495">
      <w:bodyDiv w:val="1"/>
      <w:marLeft w:val="0"/>
      <w:marRight w:val="0"/>
      <w:marTop w:val="0"/>
      <w:marBottom w:val="0"/>
      <w:divBdr>
        <w:top w:val="none" w:sz="0" w:space="0" w:color="auto"/>
        <w:left w:val="none" w:sz="0" w:space="0" w:color="auto"/>
        <w:bottom w:val="none" w:sz="0" w:space="0" w:color="auto"/>
        <w:right w:val="none" w:sz="0" w:space="0" w:color="auto"/>
      </w:divBdr>
    </w:div>
    <w:div w:id="1709181052">
      <w:bodyDiv w:val="1"/>
      <w:marLeft w:val="0"/>
      <w:marRight w:val="0"/>
      <w:marTop w:val="0"/>
      <w:marBottom w:val="0"/>
      <w:divBdr>
        <w:top w:val="none" w:sz="0" w:space="0" w:color="auto"/>
        <w:left w:val="none" w:sz="0" w:space="0" w:color="auto"/>
        <w:bottom w:val="none" w:sz="0" w:space="0" w:color="auto"/>
        <w:right w:val="none" w:sz="0" w:space="0" w:color="auto"/>
      </w:divBdr>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201630">
      <w:bodyDiv w:val="1"/>
      <w:marLeft w:val="0"/>
      <w:marRight w:val="0"/>
      <w:marTop w:val="0"/>
      <w:marBottom w:val="0"/>
      <w:divBdr>
        <w:top w:val="none" w:sz="0" w:space="0" w:color="auto"/>
        <w:left w:val="none" w:sz="0" w:space="0" w:color="auto"/>
        <w:bottom w:val="none" w:sz="0" w:space="0" w:color="auto"/>
        <w:right w:val="none" w:sz="0" w:space="0" w:color="auto"/>
      </w:divBdr>
    </w:div>
    <w:div w:id="1958021881">
      <w:bodyDiv w:val="1"/>
      <w:marLeft w:val="0"/>
      <w:marRight w:val="0"/>
      <w:marTop w:val="0"/>
      <w:marBottom w:val="0"/>
      <w:divBdr>
        <w:top w:val="none" w:sz="0" w:space="0" w:color="auto"/>
        <w:left w:val="none" w:sz="0" w:space="0" w:color="auto"/>
        <w:bottom w:val="none" w:sz="0" w:space="0" w:color="auto"/>
        <w:right w:val="none" w:sz="0" w:space="0" w:color="auto"/>
      </w:divBdr>
    </w:div>
    <w:div w:id="1968662626">
      <w:bodyDiv w:val="1"/>
      <w:marLeft w:val="0"/>
      <w:marRight w:val="0"/>
      <w:marTop w:val="0"/>
      <w:marBottom w:val="0"/>
      <w:divBdr>
        <w:top w:val="none" w:sz="0" w:space="0" w:color="auto"/>
        <w:left w:val="none" w:sz="0" w:space="0" w:color="auto"/>
        <w:bottom w:val="none" w:sz="0" w:space="0" w:color="auto"/>
        <w:right w:val="none" w:sz="0" w:space="0" w:color="auto"/>
      </w:divBdr>
    </w:div>
    <w:div w:id="21332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se.mo.gov/state-board-education-approves-reorganize-locations-missouri-schools-severely-disabled" TargetMode="External"/><Relationship Id="rId13" Type="http://schemas.openxmlformats.org/officeDocument/2006/relationships/hyperlink" Target="https://www.politico.com/f/?id=00000198-adc3-d0bd-a1db-bfdb703d0000" TargetMode="External"/><Relationship Id="rId18" Type="http://schemas.openxmlformats.org/officeDocument/2006/relationships/hyperlink" Target="https://healthsperien.us19.list-manage.com/track/click?u=b80803827ec1d826bd16eace6&amp;id=df58cb73e2&amp;e=02f9a7965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healthsperien.us19.list-manage.com/track/click?u=b80803827ec1d826bd16eace6&amp;id=f663fa71a2&amp;e=02f9a79650" TargetMode="External"/><Relationship Id="rId7" Type="http://schemas.openxmlformats.org/officeDocument/2006/relationships/image" Target="media/image1.png"/><Relationship Id="rId12" Type="http://schemas.openxmlformats.org/officeDocument/2006/relationships/hyperlink" Target="https://www.aap.org/en/patient-care/immunizations/vaccination-recommendations-by-the-aap/?srsltid=AfmBOor5hGp7rv4VxbfvpAFLNuBuUoo2c1OopaE8T1wmQITGcfHjiWgX" TargetMode="External"/><Relationship Id="rId17" Type="http://schemas.openxmlformats.org/officeDocument/2006/relationships/hyperlink" Target="https://healthsperien.us19.list-manage.com/track/click?u=b80803827ec1d826bd16eace6&amp;id=ce24c853ae&amp;e=02f9a79650" TargetMode="External"/><Relationship Id="rId25" Type="http://schemas.openxmlformats.org/officeDocument/2006/relationships/hyperlink" Target="https://healthsperien.us19.list-manage.com/track/click?u=b80803827ec1d826bd16eace6&amp;id=7e5d873c52&amp;e=02f9a79650" TargetMode="External"/><Relationship Id="rId2" Type="http://schemas.openxmlformats.org/officeDocument/2006/relationships/styles" Target="styles.xml"/><Relationship Id="rId16" Type="http://schemas.openxmlformats.org/officeDocument/2006/relationships/hyperlink" Target="https://www.hhs.gov/press-room/maha-commission-childhood-chronic-disease-root-causes.html" TargetMode="External"/><Relationship Id="rId20" Type="http://schemas.openxmlformats.org/officeDocument/2006/relationships/hyperlink" Target="https://healthsperien.us19.list-manage.com/track/click?u=b80803827ec1d826bd16eace6&amp;id=f25cfc46e0&amp;e=02f9a796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lications.aap.org/redbook/resources/15585/Immunization-Schedules?autologincheck=redirected" TargetMode="External"/><Relationship Id="rId24" Type="http://schemas.openxmlformats.org/officeDocument/2006/relationships/hyperlink" Target="https://healthsperien.us19.list-manage.com/track/click?u=b80803827ec1d826bd16eace6&amp;id=a55d3dd423&amp;e=02f9a79650" TargetMode="External"/><Relationship Id="rId5" Type="http://schemas.openxmlformats.org/officeDocument/2006/relationships/footnotes" Target="footnotes.xml"/><Relationship Id="rId15" Type="http://schemas.openxmlformats.org/officeDocument/2006/relationships/hyperlink" Target="https://www.whitehouse.gov/maha/" TargetMode="External"/><Relationship Id="rId23" Type="http://schemas.openxmlformats.org/officeDocument/2006/relationships/hyperlink" Target="https://healthsperien.us19.list-manage.com/track/click?u=b80803827ec1d826bd16eace6&amp;id=6a4af22d29&amp;e=02f9a79650" TargetMode="External"/><Relationship Id="rId28" Type="http://schemas.openxmlformats.org/officeDocument/2006/relationships/theme" Target="theme/theme1.xml"/><Relationship Id="rId10" Type="http://schemas.openxmlformats.org/officeDocument/2006/relationships/hyperlink" Target="https://www.bgov.com/news/T0ZAGWGPWCIM" TargetMode="External"/><Relationship Id="rId19" Type="http://schemas.openxmlformats.org/officeDocument/2006/relationships/hyperlink" Target="https://healthsperien.us19.list-manage.com/track/click?u=b80803827ec1d826bd16eace6&amp;id=6a3a6c497e&amp;e=02f9a79650" TargetMode="External"/><Relationship Id="rId4" Type="http://schemas.openxmlformats.org/officeDocument/2006/relationships/webSettings" Target="webSettings.xml"/><Relationship Id="rId9" Type="http://schemas.openxmlformats.org/officeDocument/2006/relationships/hyperlink" Target="https://www.cdc.gov/schoolvaxview/data/index.html" TargetMode="External"/><Relationship Id="rId14" Type="http://schemas.openxmlformats.org/officeDocument/2006/relationships/hyperlink" Target="https://www.whitehouse.gov/presidential-actions/2025/02/establishing-the-presidents-make-america-healthy-again-commission/" TargetMode="External"/><Relationship Id="rId22" Type="http://schemas.openxmlformats.org/officeDocument/2006/relationships/hyperlink" Target="https://healthsperien.us19.list-manage.com/track/click?u=b80803827ec1d826bd16eace6&amp;id=486be6ef50&amp;e=02f9a7965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2388</Words>
  <Characters>13617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Elizabeth Larky-Savin</cp:lastModifiedBy>
  <cp:revision>2</cp:revision>
  <dcterms:created xsi:type="dcterms:W3CDTF">2025-08-18T21:07:00Z</dcterms:created>
  <dcterms:modified xsi:type="dcterms:W3CDTF">2025-08-18T21:07:00Z</dcterms:modified>
</cp:coreProperties>
</file>