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0607A" w14:textId="29F286F4" w:rsidR="00226ACA" w:rsidRPr="00330820" w:rsidRDefault="00226ACA" w:rsidP="00226ACA">
      <w:pPr>
        <w:pStyle w:val="Heading1"/>
        <w:spacing w:after="240"/>
        <w:rPr>
          <w:rFonts w:ascii="Poppins SemiBold" w:hAnsi="Poppins SemiBold" w:cs="Poppins SemiBold"/>
          <w:sz w:val="32"/>
          <w:szCs w:val="32"/>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52320">
        <w:rPr>
          <w:rFonts w:ascii="Poppins SemiBold" w:hAnsi="Poppins SemiBold" w:cs="Poppins SemiBold"/>
          <w:noProof/>
          <w:sz w:val="32"/>
          <w:szCs w:val="32"/>
        </w:rPr>
        <w:t>July</w:t>
      </w:r>
      <w:r w:rsidRPr="00736378">
        <w:rPr>
          <w:rFonts w:ascii="Poppins SemiBold" w:hAnsi="Poppins SemiBold" w:cs="Poppins SemiBold"/>
          <w:noProof/>
          <w:sz w:val="32"/>
          <w:szCs w:val="32"/>
        </w:rPr>
        <w:t xml:space="preserve"> </w:t>
      </w:r>
      <w:r w:rsidR="00D11B23">
        <w:rPr>
          <w:rFonts w:ascii="Poppins SemiBold" w:hAnsi="Poppins SemiBold" w:cs="Poppins SemiBold"/>
          <w:noProof/>
          <w:sz w:val="32"/>
          <w:szCs w:val="32"/>
        </w:rPr>
        <w:t>2</w:t>
      </w:r>
      <w:r w:rsidR="00BD277B">
        <w:rPr>
          <w:rFonts w:ascii="Poppins SemiBold" w:hAnsi="Poppins SemiBold" w:cs="Poppins SemiBold"/>
          <w:noProof/>
          <w:sz w:val="32"/>
          <w:szCs w:val="32"/>
        </w:rPr>
        <w:t>9</w:t>
      </w:r>
      <w:r w:rsidRPr="00736378">
        <w:rPr>
          <w:rFonts w:ascii="Poppins SemiBold" w:hAnsi="Poppins SemiBold" w:cs="Poppins SemiBold"/>
          <w:noProof/>
          <w:sz w:val="32"/>
          <w:szCs w:val="32"/>
        </w:rPr>
        <w:t>, 2024</w:t>
      </w:r>
    </w:p>
    <w:p w14:paraId="68456B30" w14:textId="6F4809BC" w:rsidR="002E1270" w:rsidRDefault="002E1270" w:rsidP="002E1270">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HHS Affirms Commitment to Make Equal Opportunity a Reality on 34</w:t>
      </w:r>
      <w:r w:rsidRPr="002E1270">
        <w:rPr>
          <w:rFonts w:ascii="Poppins Medium" w:hAnsi="Poppins Medium" w:cs="Poppins Medium"/>
          <w:color w:val="0F4761" w:themeColor="accent1" w:themeShade="BF"/>
          <w:sz w:val="24"/>
          <w:szCs w:val="24"/>
          <w:vertAlign w:val="superscript"/>
        </w:rPr>
        <w:t>th</w:t>
      </w:r>
      <w:r>
        <w:rPr>
          <w:rFonts w:ascii="Poppins Medium" w:hAnsi="Poppins Medium" w:cs="Poppins Medium"/>
          <w:color w:val="0F4761" w:themeColor="accent1" w:themeShade="BF"/>
          <w:sz w:val="24"/>
          <w:szCs w:val="24"/>
        </w:rPr>
        <w:t xml:space="preserve"> Anniversary of the Americans with Disabilities Act</w:t>
      </w:r>
    </w:p>
    <w:p w14:paraId="178F1C82" w14:textId="6C41D13A" w:rsidR="002E1270" w:rsidRDefault="002E1270" w:rsidP="002E1270">
      <w:pPr>
        <w:pStyle w:val="ListParagraph"/>
        <w:spacing w:before="240" w:after="0"/>
        <w:ind w:left="360"/>
        <w:rPr>
          <w:rFonts w:cs="Poppins"/>
          <w:szCs w:val="20"/>
        </w:rPr>
      </w:pPr>
      <w:r>
        <w:rPr>
          <w:rFonts w:cs="Poppins"/>
          <w:szCs w:val="20"/>
        </w:rPr>
        <w:t>On the 34</w:t>
      </w:r>
      <w:r w:rsidRPr="002E1270">
        <w:rPr>
          <w:rFonts w:cs="Poppins"/>
          <w:szCs w:val="20"/>
          <w:vertAlign w:val="superscript"/>
        </w:rPr>
        <w:t>th</w:t>
      </w:r>
      <w:r>
        <w:rPr>
          <w:rFonts w:cs="Poppins"/>
          <w:szCs w:val="20"/>
        </w:rPr>
        <w:t xml:space="preserve"> anniversary of the signing of the Americans with Disabilities Act (ADA), Department of Health and Human Services (HHS) Secretary Xavier Becerra</w:t>
      </w:r>
      <w:r w:rsidR="00A87FFD">
        <w:rPr>
          <w:rFonts w:cs="Poppins"/>
          <w:szCs w:val="20"/>
        </w:rPr>
        <w:t>,</w:t>
      </w:r>
      <w:r>
        <w:rPr>
          <w:rFonts w:cs="Poppins"/>
          <w:szCs w:val="20"/>
        </w:rPr>
        <w:t xml:space="preserve"> a</w:t>
      </w:r>
      <w:r w:rsidR="00A87FFD">
        <w:rPr>
          <w:rFonts w:cs="Poppins"/>
          <w:szCs w:val="20"/>
        </w:rPr>
        <w:t>long with</w:t>
      </w:r>
      <w:r>
        <w:rPr>
          <w:rFonts w:cs="Poppins"/>
          <w:szCs w:val="20"/>
        </w:rPr>
        <w:t xml:space="preserve"> other HHS Princip</w:t>
      </w:r>
      <w:r w:rsidR="00D74192">
        <w:rPr>
          <w:rFonts w:cs="Poppins"/>
          <w:szCs w:val="20"/>
        </w:rPr>
        <w:t>als</w:t>
      </w:r>
      <w:r w:rsidR="00A87FFD">
        <w:rPr>
          <w:rFonts w:cs="Poppins"/>
          <w:szCs w:val="20"/>
        </w:rPr>
        <w:t>,</w:t>
      </w:r>
      <w:r>
        <w:rPr>
          <w:rFonts w:cs="Poppins"/>
          <w:szCs w:val="20"/>
        </w:rPr>
        <w:t xml:space="preserve"> </w:t>
      </w:r>
      <w:hyperlink r:id="rId8" w:history="1">
        <w:r w:rsidRPr="002E1270">
          <w:rPr>
            <w:rStyle w:val="Hyperlink"/>
            <w:rFonts w:cs="Poppins"/>
            <w:szCs w:val="20"/>
          </w:rPr>
          <w:t>affirm</w:t>
        </w:r>
        <w:r w:rsidRPr="002E1270">
          <w:rPr>
            <w:rStyle w:val="Hyperlink"/>
            <w:rFonts w:cs="Poppins"/>
            <w:szCs w:val="20"/>
          </w:rPr>
          <w:t>e</w:t>
        </w:r>
        <w:r w:rsidRPr="002E1270">
          <w:rPr>
            <w:rStyle w:val="Hyperlink"/>
            <w:rFonts w:cs="Poppins"/>
            <w:szCs w:val="20"/>
          </w:rPr>
          <w:t>d</w:t>
        </w:r>
      </w:hyperlink>
      <w:r>
        <w:rPr>
          <w:rFonts w:cs="Poppins"/>
          <w:szCs w:val="20"/>
        </w:rPr>
        <w:t xml:space="preserve"> their commitment to making inclusion and equal opportunity a reality for the more than 70 million Americans living with disabilities. In a statement, they emphasized that the fight for disability rights is far from over</w:t>
      </w:r>
      <w:r w:rsidR="00A87FFD">
        <w:rPr>
          <w:rFonts w:cs="Poppins"/>
          <w:szCs w:val="20"/>
        </w:rPr>
        <w:t>, highlighting that</w:t>
      </w:r>
      <w:r>
        <w:rPr>
          <w:rFonts w:cs="Poppins"/>
          <w:szCs w:val="20"/>
        </w:rPr>
        <w:t xml:space="preserve"> many people with disabilities </w:t>
      </w:r>
      <w:r w:rsidR="00A87FFD">
        <w:rPr>
          <w:rFonts w:cs="Poppins"/>
          <w:szCs w:val="20"/>
        </w:rPr>
        <w:t>still face significant barriers to accessing</w:t>
      </w:r>
      <w:r>
        <w:rPr>
          <w:rFonts w:cs="Poppins"/>
          <w:szCs w:val="20"/>
        </w:rPr>
        <w:t xml:space="preserve"> the services and supports they need to live </w:t>
      </w:r>
      <w:r w:rsidR="00A87FFD">
        <w:rPr>
          <w:rFonts w:cs="Poppins"/>
          <w:szCs w:val="20"/>
        </w:rPr>
        <w:t>fulfilling lives</w:t>
      </w:r>
      <w:r>
        <w:rPr>
          <w:rFonts w:cs="Poppins"/>
          <w:szCs w:val="20"/>
        </w:rPr>
        <w:t xml:space="preserve">. Becerra assured that the Biden-Harris Administration </w:t>
      </w:r>
      <w:r w:rsidR="0071539A">
        <w:rPr>
          <w:rFonts w:cs="Poppins"/>
          <w:szCs w:val="20"/>
        </w:rPr>
        <w:t>remains dedicated to</w:t>
      </w:r>
      <w:r>
        <w:rPr>
          <w:rFonts w:cs="Poppins"/>
          <w:szCs w:val="20"/>
        </w:rPr>
        <w:t xml:space="preserve"> </w:t>
      </w:r>
      <w:r w:rsidR="0071539A">
        <w:rPr>
          <w:rFonts w:cs="Poppins"/>
          <w:szCs w:val="20"/>
        </w:rPr>
        <w:t>accelerating progress toward these goals.</w:t>
      </w:r>
    </w:p>
    <w:p w14:paraId="5617BD86" w14:textId="77777777" w:rsidR="002E1270" w:rsidRPr="002E1270" w:rsidRDefault="002E1270" w:rsidP="002E1270">
      <w:pPr>
        <w:pStyle w:val="ListParagraph"/>
        <w:spacing w:before="240" w:after="0"/>
        <w:ind w:left="360"/>
        <w:rPr>
          <w:rFonts w:cs="Poppins"/>
          <w:szCs w:val="20"/>
        </w:rPr>
      </w:pPr>
    </w:p>
    <w:p w14:paraId="7A306983" w14:textId="028731D3" w:rsidR="007E63EA" w:rsidRDefault="00405BFA" w:rsidP="00656DE9">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Committee on Oversight and Accountability Holds Hearing on PBMs’ Roles in Prescription Drug Markets, Focuses on Transparency and Accountability</w:t>
      </w:r>
    </w:p>
    <w:p w14:paraId="0C203F5F" w14:textId="20301520" w:rsidR="007E63EA" w:rsidRDefault="005418D5" w:rsidP="007E63EA">
      <w:pPr>
        <w:pStyle w:val="ListParagraph"/>
        <w:spacing w:before="240" w:after="0"/>
        <w:ind w:left="360"/>
        <w:rPr>
          <w:rFonts w:cs="Poppins"/>
          <w:szCs w:val="20"/>
        </w:rPr>
      </w:pPr>
      <w:r>
        <w:rPr>
          <w:rFonts w:cs="Poppins"/>
          <w:szCs w:val="20"/>
        </w:rPr>
        <w:t>T</w:t>
      </w:r>
      <w:r w:rsidRPr="005418D5">
        <w:rPr>
          <w:rFonts w:cs="Poppins"/>
          <w:szCs w:val="20"/>
        </w:rPr>
        <w:t xml:space="preserve">he House of Representatives Committee on Oversight and Accountability </w:t>
      </w:r>
      <w:r w:rsidR="00277C3B">
        <w:rPr>
          <w:rFonts w:cs="Poppins"/>
          <w:szCs w:val="20"/>
        </w:rPr>
        <w:t xml:space="preserve">recently </w:t>
      </w:r>
      <w:r w:rsidRPr="005418D5">
        <w:rPr>
          <w:rFonts w:cs="Poppins"/>
          <w:szCs w:val="20"/>
        </w:rPr>
        <w:t xml:space="preserve">held a full committee </w:t>
      </w:r>
      <w:hyperlink r:id="rId9" w:tgtFrame="_blank" w:history="1">
        <w:r w:rsidRPr="005418D5">
          <w:rPr>
            <w:rStyle w:val="Hyperlink"/>
            <w:rFonts w:cs="Poppins"/>
            <w:szCs w:val="20"/>
          </w:rPr>
          <w:t>hearing</w:t>
        </w:r>
      </w:hyperlink>
      <w:r w:rsidRPr="005418D5">
        <w:rPr>
          <w:rFonts w:cs="Poppins"/>
          <w:szCs w:val="20"/>
        </w:rPr>
        <w:t xml:space="preserve"> titled “The Role of Pharmacy Benefit Managers (PBMs) in Prescription Drug Markets Part III: Transparency and Accountability.” Th</w:t>
      </w:r>
      <w:r w:rsidR="00277C3B">
        <w:rPr>
          <w:rFonts w:cs="Poppins"/>
          <w:szCs w:val="20"/>
        </w:rPr>
        <w:t>is</w:t>
      </w:r>
      <w:r w:rsidRPr="005418D5">
        <w:rPr>
          <w:rFonts w:cs="Poppins"/>
          <w:szCs w:val="20"/>
        </w:rPr>
        <w:t xml:space="preserve"> hearing</w:t>
      </w:r>
      <w:r w:rsidR="00277C3B">
        <w:rPr>
          <w:rFonts w:cs="Poppins"/>
          <w:szCs w:val="20"/>
        </w:rPr>
        <w:t>, the third in a series,</w:t>
      </w:r>
      <w:r w:rsidRPr="005418D5">
        <w:rPr>
          <w:rFonts w:cs="Poppins"/>
          <w:szCs w:val="20"/>
        </w:rPr>
        <w:t xml:space="preserve"> </w:t>
      </w:r>
      <w:r w:rsidR="00277C3B">
        <w:rPr>
          <w:rFonts w:cs="Poppins"/>
          <w:szCs w:val="20"/>
        </w:rPr>
        <w:t xml:space="preserve">focused on the </w:t>
      </w:r>
      <w:r w:rsidR="000B10D0">
        <w:rPr>
          <w:rFonts w:cs="Poppins"/>
          <w:szCs w:val="20"/>
        </w:rPr>
        <w:t xml:space="preserve">influence and practices of PBMs in </w:t>
      </w:r>
      <w:r w:rsidRPr="005418D5">
        <w:rPr>
          <w:rFonts w:cs="Poppins"/>
          <w:szCs w:val="20"/>
        </w:rPr>
        <w:t xml:space="preserve">the pharmaceutical market. </w:t>
      </w:r>
      <w:r w:rsidR="001B6F7F" w:rsidRPr="001B6F7F">
        <w:rPr>
          <w:rFonts w:cs="Poppins"/>
          <w:szCs w:val="20"/>
        </w:rPr>
        <w:t>The Committee was joined by the CEOs of the three largest PBMs—David Joyner of CVS Caremark, Adam Kautzner of Express Scripts, and Patrick Conway of OptumRx—who together control 80% of the PBM market</w:t>
      </w:r>
      <w:r w:rsidR="001B6F7F">
        <w:rPr>
          <w:rFonts w:cs="Poppins"/>
          <w:szCs w:val="20"/>
        </w:rPr>
        <w:t xml:space="preserve">. </w:t>
      </w:r>
      <w:r w:rsidRPr="005418D5">
        <w:rPr>
          <w:rFonts w:cs="Poppins"/>
          <w:szCs w:val="20"/>
        </w:rPr>
        <w:t xml:space="preserve">The </w:t>
      </w:r>
      <w:r w:rsidR="007824AB">
        <w:rPr>
          <w:rFonts w:cs="Poppins"/>
          <w:szCs w:val="20"/>
        </w:rPr>
        <w:t>hearing</w:t>
      </w:r>
      <w:r w:rsidRPr="005418D5">
        <w:rPr>
          <w:rFonts w:cs="Poppins"/>
          <w:szCs w:val="20"/>
        </w:rPr>
        <w:t xml:space="preserve"> </w:t>
      </w:r>
      <w:r w:rsidR="007824AB">
        <w:rPr>
          <w:rFonts w:cs="Poppins"/>
          <w:szCs w:val="20"/>
        </w:rPr>
        <w:t>followed the release of the Federal Trade Commission</w:t>
      </w:r>
      <w:r w:rsidRPr="005418D5">
        <w:rPr>
          <w:rFonts w:cs="Poppins"/>
          <w:szCs w:val="20"/>
        </w:rPr>
        <w:t xml:space="preserve"> </w:t>
      </w:r>
      <w:r w:rsidR="007824AB">
        <w:rPr>
          <w:rFonts w:cs="Poppins"/>
          <w:szCs w:val="20"/>
        </w:rPr>
        <w:t>(</w:t>
      </w:r>
      <w:r w:rsidRPr="005418D5">
        <w:rPr>
          <w:rFonts w:cs="Poppins"/>
          <w:szCs w:val="20"/>
        </w:rPr>
        <w:t>FTC</w:t>
      </w:r>
      <w:r w:rsidR="007824AB">
        <w:rPr>
          <w:rFonts w:cs="Poppins"/>
          <w:szCs w:val="20"/>
        </w:rPr>
        <w:t>)</w:t>
      </w:r>
      <w:r w:rsidRPr="005418D5">
        <w:rPr>
          <w:rFonts w:cs="Poppins"/>
          <w:szCs w:val="20"/>
        </w:rPr>
        <w:t xml:space="preserve"> </w:t>
      </w:r>
      <w:hyperlink r:id="rId10" w:tgtFrame="_blank" w:history="1">
        <w:r w:rsidRPr="005418D5">
          <w:rPr>
            <w:rStyle w:val="Hyperlink"/>
            <w:rFonts w:cs="Poppins"/>
            <w:szCs w:val="20"/>
          </w:rPr>
          <w:t>report</w:t>
        </w:r>
      </w:hyperlink>
      <w:r w:rsidRPr="005418D5">
        <w:rPr>
          <w:rFonts w:cs="Poppins"/>
          <w:szCs w:val="20"/>
        </w:rPr>
        <w:t xml:space="preserve"> earlier this month</w:t>
      </w:r>
      <w:r w:rsidR="00B878DA">
        <w:rPr>
          <w:rFonts w:cs="Poppins"/>
          <w:szCs w:val="20"/>
        </w:rPr>
        <w:t>,</w:t>
      </w:r>
      <w:r w:rsidRPr="005418D5">
        <w:rPr>
          <w:rFonts w:cs="Poppins"/>
          <w:szCs w:val="20"/>
        </w:rPr>
        <w:t xml:space="preserve"> title</w:t>
      </w:r>
      <w:r w:rsidR="00B878DA">
        <w:rPr>
          <w:rFonts w:cs="Poppins"/>
          <w:szCs w:val="20"/>
        </w:rPr>
        <w:t>d</w:t>
      </w:r>
      <w:r w:rsidRPr="005418D5">
        <w:rPr>
          <w:rFonts w:cs="Poppins"/>
          <w:szCs w:val="20"/>
        </w:rPr>
        <w:t xml:space="preserve"> “Pharmacy Benefit Managers: The Powerful Middlemen Inflating Drug Costs and Squeezing Main Street Pharmacies.” </w:t>
      </w:r>
      <w:r w:rsidR="00B878DA">
        <w:rPr>
          <w:rFonts w:cs="Poppins"/>
          <w:szCs w:val="20"/>
        </w:rPr>
        <w:t xml:space="preserve">The report </w:t>
      </w:r>
      <w:r w:rsidRPr="005418D5">
        <w:rPr>
          <w:rFonts w:cs="Poppins"/>
          <w:szCs w:val="20"/>
        </w:rPr>
        <w:t xml:space="preserve">accused PBMs of </w:t>
      </w:r>
      <w:r w:rsidR="00B878DA">
        <w:rPr>
          <w:rFonts w:cs="Poppins"/>
          <w:szCs w:val="20"/>
        </w:rPr>
        <w:t xml:space="preserve">engaging in </w:t>
      </w:r>
      <w:r w:rsidRPr="005418D5">
        <w:rPr>
          <w:rFonts w:cs="Poppins"/>
          <w:szCs w:val="20"/>
        </w:rPr>
        <w:t>anticompetitive</w:t>
      </w:r>
      <w:r w:rsidR="00B878DA">
        <w:rPr>
          <w:rFonts w:cs="Poppins"/>
          <w:szCs w:val="20"/>
        </w:rPr>
        <w:t xml:space="preserve"> and</w:t>
      </w:r>
      <w:r w:rsidRPr="005418D5">
        <w:rPr>
          <w:rFonts w:cs="Poppins"/>
          <w:szCs w:val="20"/>
        </w:rPr>
        <w:t xml:space="preserve"> price raising practices that increase costs for </w:t>
      </w:r>
      <w:r w:rsidR="00B40025">
        <w:rPr>
          <w:rFonts w:cs="Poppins"/>
          <w:szCs w:val="20"/>
        </w:rPr>
        <w:t xml:space="preserve">both </w:t>
      </w:r>
      <w:r w:rsidRPr="005418D5">
        <w:rPr>
          <w:rFonts w:cs="Poppins"/>
          <w:szCs w:val="20"/>
        </w:rPr>
        <w:t>pharmacies and American consumers. Healthsperien covered the hearing</w:t>
      </w:r>
      <w:r w:rsidR="00B40025">
        <w:rPr>
          <w:rFonts w:cs="Poppins"/>
          <w:szCs w:val="20"/>
        </w:rPr>
        <w:t>,</w:t>
      </w:r>
      <w:r w:rsidRPr="005418D5">
        <w:rPr>
          <w:rFonts w:cs="Poppins"/>
          <w:szCs w:val="20"/>
        </w:rPr>
        <w:t xml:space="preserve"> and detailed notes are available </w:t>
      </w:r>
      <w:hyperlink r:id="rId11" w:tgtFrame="_blank" w:history="1">
        <w:r w:rsidRPr="005418D5">
          <w:rPr>
            <w:rStyle w:val="Hyperlink"/>
            <w:rFonts w:cs="Poppins"/>
            <w:szCs w:val="20"/>
          </w:rPr>
          <w:t>here</w:t>
        </w:r>
      </w:hyperlink>
      <w:r w:rsidRPr="005418D5">
        <w:rPr>
          <w:rFonts w:cs="Poppins"/>
          <w:szCs w:val="20"/>
        </w:rPr>
        <w:t>. </w:t>
      </w:r>
    </w:p>
    <w:p w14:paraId="7BF2BCFF" w14:textId="77777777" w:rsidR="00CF680F" w:rsidRDefault="00CF680F" w:rsidP="007E63EA">
      <w:pPr>
        <w:pStyle w:val="ListParagraph"/>
        <w:spacing w:before="240" w:after="0"/>
        <w:ind w:left="360"/>
        <w:rPr>
          <w:rFonts w:cs="Poppins"/>
          <w:szCs w:val="20"/>
        </w:rPr>
      </w:pPr>
    </w:p>
    <w:p w14:paraId="0EF95EC2" w14:textId="2F554CF6" w:rsidR="00CF680F" w:rsidRDefault="00405BFA" w:rsidP="00CF680F">
      <w:pPr>
        <w:pStyle w:val="ListParagraph"/>
        <w:numPr>
          <w:ilvl w:val="0"/>
          <w:numId w:val="1"/>
        </w:numPr>
        <w:spacing w:before="240" w:after="0"/>
        <w:rPr>
          <w:rFonts w:ascii="Poppins Medium" w:hAnsi="Poppins Medium" w:cs="Poppins Medium"/>
          <w:color w:val="0F4761" w:themeColor="accent1" w:themeShade="BF"/>
          <w:sz w:val="24"/>
          <w:szCs w:val="24"/>
        </w:rPr>
      </w:pPr>
      <w:r>
        <w:rPr>
          <w:rFonts w:ascii="Poppins Medium" w:hAnsi="Poppins Medium" w:cs="Poppins Medium"/>
          <w:color w:val="0F4761" w:themeColor="accent1" w:themeShade="BF"/>
          <w:sz w:val="24"/>
          <w:szCs w:val="24"/>
        </w:rPr>
        <w:t>Committee on House Administration Holds Hearing on “Congress in a Post-Chevron World”</w:t>
      </w:r>
    </w:p>
    <w:p w14:paraId="65DB4C26" w14:textId="1C0805EF" w:rsidR="00CF680F" w:rsidRDefault="005418D5" w:rsidP="00CF680F">
      <w:pPr>
        <w:pStyle w:val="ListParagraph"/>
        <w:spacing w:before="240" w:after="0"/>
        <w:ind w:left="360"/>
        <w:rPr>
          <w:rFonts w:cs="Poppins"/>
          <w:szCs w:val="20"/>
        </w:rPr>
      </w:pPr>
      <w:r>
        <w:rPr>
          <w:rFonts w:cs="Poppins"/>
          <w:szCs w:val="20"/>
        </w:rPr>
        <w:t>T</w:t>
      </w:r>
      <w:r w:rsidRPr="005418D5">
        <w:rPr>
          <w:rFonts w:cs="Poppins"/>
          <w:szCs w:val="20"/>
        </w:rPr>
        <w:t xml:space="preserve">he Committee on House Administration held a </w:t>
      </w:r>
      <w:hyperlink r:id="rId12" w:tgtFrame="_blank" w:history="1">
        <w:r w:rsidRPr="005418D5">
          <w:rPr>
            <w:rStyle w:val="Hyperlink"/>
            <w:rFonts w:cs="Poppins"/>
            <w:szCs w:val="20"/>
          </w:rPr>
          <w:t>hearing</w:t>
        </w:r>
      </w:hyperlink>
      <w:r w:rsidRPr="005418D5">
        <w:rPr>
          <w:rFonts w:cs="Poppins"/>
          <w:szCs w:val="20"/>
        </w:rPr>
        <w:t xml:space="preserve"> </w:t>
      </w:r>
      <w:r w:rsidR="00987E05">
        <w:rPr>
          <w:rFonts w:cs="Poppins"/>
          <w:szCs w:val="20"/>
        </w:rPr>
        <w:t>titled</w:t>
      </w:r>
      <w:r w:rsidRPr="005418D5">
        <w:rPr>
          <w:rFonts w:cs="Poppins"/>
          <w:szCs w:val="20"/>
        </w:rPr>
        <w:t xml:space="preserve"> “Congress in a Post-Chevron World</w:t>
      </w:r>
      <w:r>
        <w:rPr>
          <w:rFonts w:cs="Poppins"/>
          <w:szCs w:val="20"/>
        </w:rPr>
        <w:t xml:space="preserve">.” </w:t>
      </w:r>
      <w:r w:rsidR="00987E05">
        <w:rPr>
          <w:rFonts w:cs="Poppins"/>
          <w:szCs w:val="20"/>
        </w:rPr>
        <w:t>The hearing featured testimonies from</w:t>
      </w:r>
      <w:r w:rsidRPr="005418D5">
        <w:rPr>
          <w:rFonts w:cs="Poppins"/>
          <w:szCs w:val="20"/>
        </w:rPr>
        <w:t xml:space="preserve"> Honorable Paul J. Ray from the Heritage Foundation, Mr. Satya Thallam from Americans for Responsible Innovation, Dr. Kevin Kosar from the American Enterprise Institute, Mr. Wayne Crews from the Competitive Enterprise Institute, and Professor Josh Chafetz from the Georgetown University Law Center. All witnesses agreed that Congress</w:t>
      </w:r>
      <w:r w:rsidR="008E266C">
        <w:rPr>
          <w:rFonts w:cs="Poppins"/>
          <w:szCs w:val="20"/>
        </w:rPr>
        <w:t>,</w:t>
      </w:r>
      <w:r w:rsidRPr="005418D5">
        <w:rPr>
          <w:rFonts w:cs="Poppins"/>
          <w:szCs w:val="20"/>
        </w:rPr>
        <w:t xml:space="preserve"> in its current state</w:t>
      </w:r>
      <w:r w:rsidR="008E266C">
        <w:rPr>
          <w:rFonts w:cs="Poppins"/>
          <w:szCs w:val="20"/>
        </w:rPr>
        <w:t>,</w:t>
      </w:r>
      <w:r w:rsidRPr="005418D5">
        <w:rPr>
          <w:rFonts w:cs="Poppins"/>
          <w:szCs w:val="20"/>
        </w:rPr>
        <w:t xml:space="preserve"> is ill-prepared to meet </w:t>
      </w:r>
      <w:r w:rsidR="00286B6A">
        <w:rPr>
          <w:rFonts w:cs="Poppins"/>
          <w:szCs w:val="20"/>
        </w:rPr>
        <w:t xml:space="preserve">the </w:t>
      </w:r>
      <w:r w:rsidRPr="005418D5">
        <w:rPr>
          <w:rFonts w:cs="Poppins"/>
          <w:szCs w:val="20"/>
        </w:rPr>
        <w:t xml:space="preserve">increased regulatory </w:t>
      </w:r>
      <w:r w:rsidR="00286B6A">
        <w:rPr>
          <w:rFonts w:cs="Poppins"/>
          <w:szCs w:val="20"/>
        </w:rPr>
        <w:t>demands of the legislative process.</w:t>
      </w:r>
      <w:r w:rsidRPr="005418D5">
        <w:rPr>
          <w:rFonts w:cs="Poppins"/>
          <w:szCs w:val="20"/>
        </w:rPr>
        <w:t xml:space="preserve"> </w:t>
      </w:r>
      <w:r w:rsidR="00286B6A">
        <w:rPr>
          <w:rFonts w:cs="Poppins"/>
          <w:szCs w:val="20"/>
        </w:rPr>
        <w:t>They collectively</w:t>
      </w:r>
      <w:r w:rsidRPr="005418D5">
        <w:rPr>
          <w:rFonts w:cs="Poppins"/>
          <w:szCs w:val="20"/>
        </w:rPr>
        <w:t xml:space="preserve"> supported the creation of </w:t>
      </w:r>
      <w:r w:rsidR="00286B6A">
        <w:rPr>
          <w:rFonts w:cs="Poppins"/>
          <w:szCs w:val="20"/>
        </w:rPr>
        <w:t xml:space="preserve">a </w:t>
      </w:r>
      <w:r w:rsidRPr="005418D5">
        <w:rPr>
          <w:rFonts w:cs="Poppins"/>
          <w:szCs w:val="20"/>
        </w:rPr>
        <w:t>Congressional Office of Regulatory Analysis (CORA)</w:t>
      </w:r>
      <w:r w:rsidR="00286B6A">
        <w:rPr>
          <w:rFonts w:cs="Poppins"/>
          <w:szCs w:val="20"/>
        </w:rPr>
        <w:t>,</w:t>
      </w:r>
      <w:r w:rsidRPr="005418D5">
        <w:rPr>
          <w:rFonts w:cs="Poppins"/>
          <w:szCs w:val="20"/>
        </w:rPr>
        <w:t xml:space="preserve"> as </w:t>
      </w:r>
      <w:hyperlink r:id="rId13" w:tgtFrame="_blank" w:history="1">
        <w:r w:rsidRPr="005418D5">
          <w:rPr>
            <w:rStyle w:val="Hyperlink"/>
            <w:rFonts w:cs="Poppins"/>
            <w:szCs w:val="20"/>
          </w:rPr>
          <w:t>proposed</w:t>
        </w:r>
      </w:hyperlink>
      <w:r w:rsidRPr="005418D5">
        <w:rPr>
          <w:rFonts w:cs="Poppins"/>
          <w:szCs w:val="20"/>
        </w:rPr>
        <w:t xml:space="preserve"> by the Government Accountability Office (GAO). </w:t>
      </w:r>
      <w:r w:rsidR="00F53467">
        <w:rPr>
          <w:rFonts w:cs="Poppins"/>
          <w:szCs w:val="20"/>
        </w:rPr>
        <w:t>However, there was disagreement among the</w:t>
      </w:r>
      <w:r w:rsidRPr="005418D5">
        <w:rPr>
          <w:rFonts w:cs="Poppins"/>
          <w:szCs w:val="20"/>
        </w:rPr>
        <w:t xml:space="preserve"> witnesses </w:t>
      </w:r>
      <w:r w:rsidR="00F53467">
        <w:rPr>
          <w:rFonts w:cs="Poppins"/>
          <w:szCs w:val="20"/>
        </w:rPr>
        <w:t>regarding</w:t>
      </w:r>
      <w:r w:rsidRPr="005418D5">
        <w:rPr>
          <w:rFonts w:cs="Poppins"/>
          <w:szCs w:val="20"/>
        </w:rPr>
        <w:t xml:space="preserve"> other actions Congress should take in response to </w:t>
      </w:r>
      <w:r w:rsidR="00F53467">
        <w:rPr>
          <w:rFonts w:cs="Poppins"/>
          <w:szCs w:val="20"/>
        </w:rPr>
        <w:t xml:space="preserve">the </w:t>
      </w:r>
      <w:r w:rsidRPr="005418D5">
        <w:rPr>
          <w:rFonts w:cs="Poppins"/>
          <w:szCs w:val="20"/>
        </w:rPr>
        <w:t>Loper Bright</w:t>
      </w:r>
      <w:r w:rsidR="00F53467">
        <w:rPr>
          <w:rFonts w:cs="Poppins"/>
          <w:szCs w:val="20"/>
        </w:rPr>
        <w:t xml:space="preserve"> decision.</w:t>
      </w:r>
      <w:r w:rsidRPr="005418D5">
        <w:rPr>
          <w:rFonts w:cs="Poppins"/>
          <w:szCs w:val="20"/>
        </w:rPr>
        <w:t xml:space="preserve"> Healthsperien covered the hearing</w:t>
      </w:r>
      <w:r w:rsidR="008235E1">
        <w:rPr>
          <w:rFonts w:cs="Poppins"/>
          <w:szCs w:val="20"/>
        </w:rPr>
        <w:t>,</w:t>
      </w:r>
      <w:r w:rsidRPr="005418D5">
        <w:rPr>
          <w:rFonts w:cs="Poppins"/>
          <w:szCs w:val="20"/>
        </w:rPr>
        <w:t xml:space="preserve"> and detailed notes are available </w:t>
      </w:r>
      <w:hyperlink r:id="rId14" w:tgtFrame="_blank" w:history="1">
        <w:r w:rsidRPr="005418D5">
          <w:rPr>
            <w:rStyle w:val="Hyperlink"/>
            <w:rFonts w:cs="Poppins"/>
            <w:szCs w:val="20"/>
          </w:rPr>
          <w:t>here</w:t>
        </w:r>
      </w:hyperlink>
      <w:r w:rsidRPr="005418D5">
        <w:rPr>
          <w:rFonts w:cs="Poppins"/>
          <w:szCs w:val="20"/>
        </w:rPr>
        <w:t>. </w:t>
      </w:r>
    </w:p>
    <w:p w14:paraId="11908CD6" w14:textId="77777777" w:rsidR="005418D5" w:rsidRDefault="005418D5" w:rsidP="00CF680F">
      <w:pPr>
        <w:pStyle w:val="ListParagraph"/>
        <w:spacing w:before="240" w:after="0"/>
        <w:ind w:left="360"/>
        <w:rPr>
          <w:rFonts w:cs="Poppins"/>
          <w:szCs w:val="20"/>
        </w:rPr>
      </w:pPr>
    </w:p>
    <w:p w14:paraId="0B31E0C0" w14:textId="7F5C85EE" w:rsidR="005418D5" w:rsidRPr="00E007ED" w:rsidRDefault="00A97B81" w:rsidP="005418D5">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 xml:space="preserve">Study Analyzes Integrated Care for Dual-Eligible Population: Quality, </w:t>
      </w:r>
      <w:r w:rsidR="009A0A17">
        <w:rPr>
          <w:rFonts w:ascii="Poppins Medium" w:hAnsi="Poppins Medium" w:cs="Poppins Medium"/>
          <w:color w:val="0F4761" w:themeColor="accent1" w:themeShade="BF"/>
          <w:sz w:val="24"/>
          <w:szCs w:val="24"/>
        </w:rPr>
        <w:t>Utilization</w:t>
      </w:r>
      <w:r>
        <w:rPr>
          <w:rFonts w:ascii="Poppins Medium" w:hAnsi="Poppins Medium" w:cs="Poppins Medium"/>
          <w:color w:val="0F4761" w:themeColor="accent1" w:themeShade="BF"/>
          <w:sz w:val="24"/>
          <w:szCs w:val="24"/>
        </w:rPr>
        <w:t>, and Cost of Care</w:t>
      </w:r>
    </w:p>
    <w:p w14:paraId="72A3FDF9" w14:textId="3556DEFB" w:rsidR="007E63EA" w:rsidRPr="005418D5" w:rsidRDefault="00E001D8" w:rsidP="005418D5">
      <w:pPr>
        <w:spacing w:after="0" w:line="240" w:lineRule="auto"/>
        <w:ind w:left="360"/>
        <w:rPr>
          <w:rFonts w:cs="Poppins"/>
          <w:szCs w:val="20"/>
        </w:rPr>
      </w:pPr>
      <w:r w:rsidRPr="005418D5">
        <w:rPr>
          <w:rFonts w:cs="Poppins"/>
          <w:i/>
          <w:iCs/>
          <w:szCs w:val="20"/>
        </w:rPr>
        <w:t>JAMA</w:t>
      </w:r>
      <w:r w:rsidRPr="005418D5">
        <w:rPr>
          <w:rFonts w:cs="Poppins"/>
          <w:szCs w:val="20"/>
        </w:rPr>
        <w:t xml:space="preserve"> </w:t>
      </w:r>
      <w:r w:rsidRPr="005418D5">
        <w:rPr>
          <w:rFonts w:cs="Poppins"/>
          <w:i/>
          <w:iCs/>
          <w:szCs w:val="20"/>
        </w:rPr>
        <w:t>Health Forum</w:t>
      </w:r>
      <w:r w:rsidRPr="005418D5">
        <w:rPr>
          <w:rFonts w:cs="Poppins"/>
          <w:szCs w:val="20"/>
        </w:rPr>
        <w:t xml:space="preserve"> </w:t>
      </w:r>
      <w:r>
        <w:rPr>
          <w:rFonts w:cs="Poppins"/>
          <w:szCs w:val="20"/>
        </w:rPr>
        <w:t>recently published a</w:t>
      </w:r>
      <w:r w:rsidR="005418D5" w:rsidRPr="005418D5">
        <w:rPr>
          <w:rFonts w:cs="Poppins"/>
          <w:szCs w:val="20"/>
        </w:rPr>
        <w:t xml:space="preserve">n </w:t>
      </w:r>
      <w:hyperlink r:id="rId15" w:tgtFrame="_blank" w:history="1">
        <w:r w:rsidR="005418D5" w:rsidRPr="005418D5">
          <w:rPr>
            <w:rStyle w:val="Hyperlink"/>
            <w:rFonts w:cs="Poppins"/>
            <w:szCs w:val="20"/>
          </w:rPr>
          <w:t>article</w:t>
        </w:r>
      </w:hyperlink>
      <w:r w:rsidR="005418D5" w:rsidRPr="005418D5">
        <w:rPr>
          <w:rFonts w:cs="Poppins"/>
          <w:szCs w:val="20"/>
        </w:rPr>
        <w:t xml:space="preserve"> </w:t>
      </w:r>
      <w:r w:rsidR="00855D79">
        <w:rPr>
          <w:rFonts w:cs="Poppins"/>
          <w:szCs w:val="20"/>
        </w:rPr>
        <w:t xml:space="preserve">that </w:t>
      </w:r>
      <w:r w:rsidR="005418D5" w:rsidRPr="005418D5">
        <w:rPr>
          <w:rFonts w:cs="Poppins"/>
          <w:szCs w:val="20"/>
        </w:rPr>
        <w:t>evaluate</w:t>
      </w:r>
      <w:r w:rsidR="00C11C07">
        <w:rPr>
          <w:rFonts w:cs="Poppins"/>
          <w:szCs w:val="20"/>
        </w:rPr>
        <w:t>s</w:t>
      </w:r>
      <w:r w:rsidR="005418D5" w:rsidRPr="005418D5">
        <w:rPr>
          <w:rFonts w:cs="Poppins"/>
          <w:szCs w:val="20"/>
        </w:rPr>
        <w:t xml:space="preserve"> the relationship between integrated care plans (IPCs) and quality, utilization, and spending among dual-eligible beneficiaries from 2010 through 2023. </w:t>
      </w:r>
      <w:r w:rsidR="00630316">
        <w:rPr>
          <w:rFonts w:cs="Poppins"/>
          <w:szCs w:val="20"/>
        </w:rPr>
        <w:t xml:space="preserve">The study examined various integrated care models, including </w:t>
      </w:r>
      <w:r w:rsidR="005418D5" w:rsidRPr="005418D5">
        <w:rPr>
          <w:rFonts w:cs="Poppins"/>
          <w:szCs w:val="20"/>
        </w:rPr>
        <w:t>Programs of All-Inclusive Care for the Elderly (PACE) and Medicare-Medicaid Plans (MMPs</w:t>
      </w:r>
      <w:r w:rsidR="00630316">
        <w:rPr>
          <w:rFonts w:cs="Poppins"/>
          <w:szCs w:val="20"/>
        </w:rPr>
        <w:t>), which demonstrated</w:t>
      </w:r>
      <w:r w:rsidR="005418D5" w:rsidRPr="005418D5">
        <w:rPr>
          <w:rFonts w:cs="Poppins"/>
          <w:szCs w:val="20"/>
        </w:rPr>
        <w:t xml:space="preserve"> reductions in nursing-home says by 2-3 days and increases in outpatient care utilization. MMPs and Fully Integrated Dual Eligible Special Needs Plans (FIDE-SNPs) were associated with higher outpatient care utilization. </w:t>
      </w:r>
      <w:r w:rsidR="00CD2706">
        <w:rPr>
          <w:rFonts w:cs="Poppins"/>
          <w:szCs w:val="20"/>
        </w:rPr>
        <w:t>Although d</w:t>
      </w:r>
      <w:r w:rsidR="005418D5" w:rsidRPr="005418D5">
        <w:rPr>
          <w:rFonts w:cs="Poppins"/>
          <w:szCs w:val="20"/>
        </w:rPr>
        <w:t>ata on Medicaid spending was limited</w:t>
      </w:r>
      <w:r w:rsidR="00CD2706">
        <w:rPr>
          <w:rFonts w:cs="Poppins"/>
          <w:szCs w:val="20"/>
        </w:rPr>
        <w:t xml:space="preserve">, the study found that </w:t>
      </w:r>
      <w:r w:rsidR="005418D5" w:rsidRPr="005418D5">
        <w:rPr>
          <w:rFonts w:cs="Poppins"/>
          <w:szCs w:val="20"/>
        </w:rPr>
        <w:t xml:space="preserve">MMPs were </w:t>
      </w:r>
      <w:r w:rsidR="00C7450F">
        <w:rPr>
          <w:rFonts w:cs="Poppins"/>
          <w:szCs w:val="20"/>
        </w:rPr>
        <w:t>linked</w:t>
      </w:r>
      <w:r w:rsidR="005418D5" w:rsidRPr="005418D5">
        <w:rPr>
          <w:rFonts w:cs="Poppins"/>
          <w:szCs w:val="20"/>
        </w:rPr>
        <w:t xml:space="preserve"> with higher Medicare spending. </w:t>
      </w:r>
      <w:r w:rsidR="00C7450F">
        <w:rPr>
          <w:rFonts w:cs="Poppins"/>
          <w:szCs w:val="20"/>
        </w:rPr>
        <w:t>E</w:t>
      </w:r>
      <w:r w:rsidR="005418D5" w:rsidRPr="005418D5">
        <w:rPr>
          <w:rFonts w:cs="Poppins"/>
          <w:szCs w:val="20"/>
        </w:rPr>
        <w:t>vidence on care coordination and hospitalizations</w:t>
      </w:r>
      <w:r w:rsidR="00C7450F">
        <w:rPr>
          <w:rFonts w:cs="Poppins"/>
          <w:szCs w:val="20"/>
        </w:rPr>
        <w:t xml:space="preserve"> was </w:t>
      </w:r>
      <w:r w:rsidR="00C7450F" w:rsidRPr="005418D5">
        <w:rPr>
          <w:rFonts w:cs="Poppins"/>
          <w:szCs w:val="20"/>
        </w:rPr>
        <w:t>mixed or inconclusive</w:t>
      </w:r>
      <w:r w:rsidR="005418D5" w:rsidRPr="005418D5">
        <w:rPr>
          <w:rFonts w:cs="Poppins"/>
          <w:szCs w:val="20"/>
        </w:rPr>
        <w:t xml:space="preserve">. </w:t>
      </w:r>
      <w:r w:rsidR="00F47D6F">
        <w:rPr>
          <w:rFonts w:cs="Poppins"/>
          <w:szCs w:val="20"/>
        </w:rPr>
        <w:t>Due to insufficient data, p</w:t>
      </w:r>
      <w:r w:rsidR="005418D5" w:rsidRPr="005418D5">
        <w:rPr>
          <w:rFonts w:cs="Poppins"/>
          <w:szCs w:val="20"/>
        </w:rPr>
        <w:t>atient satisfaction, overall health</w:t>
      </w:r>
      <w:r w:rsidR="00F47D6F">
        <w:rPr>
          <w:rFonts w:cs="Poppins"/>
          <w:szCs w:val="20"/>
        </w:rPr>
        <w:t xml:space="preserve"> outcomes</w:t>
      </w:r>
      <w:r w:rsidR="005418D5" w:rsidRPr="005418D5">
        <w:rPr>
          <w:rFonts w:cs="Poppins"/>
          <w:szCs w:val="20"/>
        </w:rPr>
        <w:t xml:space="preserve">, and outcomes in beneficiary subgroups </w:t>
      </w:r>
      <w:r w:rsidR="00F47D6F">
        <w:rPr>
          <w:rFonts w:cs="Poppins"/>
          <w:szCs w:val="20"/>
        </w:rPr>
        <w:t>could not</w:t>
      </w:r>
      <w:r w:rsidR="005418D5" w:rsidRPr="005418D5">
        <w:rPr>
          <w:rFonts w:cs="Poppins"/>
          <w:szCs w:val="20"/>
        </w:rPr>
        <w:t xml:space="preserve"> be </w:t>
      </w:r>
      <w:r w:rsidR="00F47D6F">
        <w:rPr>
          <w:rFonts w:cs="Poppins"/>
          <w:szCs w:val="20"/>
        </w:rPr>
        <w:t xml:space="preserve">fully </w:t>
      </w:r>
      <w:r w:rsidR="005418D5" w:rsidRPr="005418D5">
        <w:rPr>
          <w:rFonts w:cs="Poppins"/>
          <w:szCs w:val="20"/>
        </w:rPr>
        <w:t>evaluated</w:t>
      </w:r>
      <w:r w:rsidR="00F47D6F">
        <w:rPr>
          <w:rFonts w:cs="Poppins"/>
          <w:szCs w:val="20"/>
        </w:rPr>
        <w:t>. The r</w:t>
      </w:r>
      <w:r w:rsidR="005418D5" w:rsidRPr="005418D5">
        <w:rPr>
          <w:rFonts w:cs="Poppins"/>
          <w:szCs w:val="20"/>
        </w:rPr>
        <w:t xml:space="preserve">esearchers </w:t>
      </w:r>
      <w:r w:rsidR="00F47D6F">
        <w:rPr>
          <w:rFonts w:cs="Poppins"/>
          <w:szCs w:val="20"/>
        </w:rPr>
        <w:t>highlighted the need for further</w:t>
      </w:r>
      <w:r w:rsidR="005418D5" w:rsidRPr="005418D5">
        <w:rPr>
          <w:rFonts w:cs="Poppins"/>
          <w:szCs w:val="20"/>
        </w:rPr>
        <w:t xml:space="preserve"> research </w:t>
      </w:r>
      <w:r w:rsidR="00F47D6F">
        <w:rPr>
          <w:rFonts w:cs="Poppins"/>
          <w:szCs w:val="20"/>
        </w:rPr>
        <w:t>to address</w:t>
      </w:r>
      <w:r w:rsidR="005418D5" w:rsidRPr="005418D5">
        <w:rPr>
          <w:rFonts w:cs="Poppins"/>
          <w:szCs w:val="20"/>
        </w:rPr>
        <w:t xml:space="preserve"> evidence gaps </w:t>
      </w:r>
      <w:r w:rsidR="00F47D6F">
        <w:rPr>
          <w:rFonts w:cs="Poppins"/>
          <w:szCs w:val="20"/>
        </w:rPr>
        <w:t>and to</w:t>
      </w:r>
      <w:r w:rsidR="005418D5" w:rsidRPr="005418D5">
        <w:rPr>
          <w:rFonts w:cs="Poppins"/>
          <w:szCs w:val="20"/>
        </w:rPr>
        <w:t xml:space="preserve"> guide </w:t>
      </w:r>
      <w:r w:rsidR="00F47D6F">
        <w:rPr>
          <w:rFonts w:cs="Poppins"/>
          <w:szCs w:val="20"/>
        </w:rPr>
        <w:t xml:space="preserve">future </w:t>
      </w:r>
      <w:r w:rsidR="005418D5" w:rsidRPr="005418D5">
        <w:rPr>
          <w:rFonts w:cs="Poppins"/>
          <w:szCs w:val="20"/>
        </w:rPr>
        <w:t xml:space="preserve">efforts </w:t>
      </w:r>
      <w:r w:rsidR="00F47D6F">
        <w:rPr>
          <w:rFonts w:cs="Poppins"/>
          <w:szCs w:val="20"/>
        </w:rPr>
        <w:t>for</w:t>
      </w:r>
      <w:r w:rsidR="005418D5" w:rsidRPr="005418D5">
        <w:rPr>
          <w:rFonts w:cs="Poppins"/>
          <w:szCs w:val="20"/>
        </w:rPr>
        <w:t xml:space="preserve"> integrat</w:t>
      </w:r>
      <w:r w:rsidR="00F47D6F">
        <w:rPr>
          <w:rFonts w:cs="Poppins"/>
          <w:szCs w:val="20"/>
        </w:rPr>
        <w:t>ing</w:t>
      </w:r>
      <w:r w:rsidR="005418D5" w:rsidRPr="005418D5">
        <w:rPr>
          <w:rFonts w:cs="Poppins"/>
          <w:szCs w:val="20"/>
        </w:rPr>
        <w:t xml:space="preserve"> care for dual-eligibles. </w:t>
      </w:r>
    </w:p>
    <w:p w14:paraId="465D0D61" w14:textId="2C0AF220" w:rsidR="00656DE9" w:rsidRPr="00E007ED" w:rsidRDefault="005828B4" w:rsidP="00656DE9">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HHS Reorganizes Technology, Cybersecurity, Data, and AI Strategy and Policy Functions</w:t>
      </w:r>
    </w:p>
    <w:p w14:paraId="44304000" w14:textId="0EE1301D" w:rsidR="005418D5" w:rsidRDefault="005418D5" w:rsidP="005418D5">
      <w:pPr>
        <w:spacing w:after="0" w:line="240" w:lineRule="auto"/>
        <w:ind w:left="360"/>
        <w:rPr>
          <w:rFonts w:cs="Poppins"/>
          <w:szCs w:val="20"/>
        </w:rPr>
      </w:pPr>
      <w:r w:rsidRPr="005418D5">
        <w:rPr>
          <w:rFonts w:cs="Poppins"/>
          <w:szCs w:val="20"/>
        </w:rPr>
        <w:t xml:space="preserve">The U.S. Department of Health and Human Services (HHS) </w:t>
      </w:r>
      <w:hyperlink r:id="rId16" w:tgtFrame="_blank" w:history="1">
        <w:r w:rsidRPr="005418D5">
          <w:rPr>
            <w:rStyle w:val="Hyperlink"/>
            <w:rFonts w:cs="Poppins"/>
            <w:szCs w:val="20"/>
          </w:rPr>
          <w:t>announced</w:t>
        </w:r>
      </w:hyperlink>
      <w:r w:rsidRPr="005418D5">
        <w:rPr>
          <w:rFonts w:cs="Poppins"/>
          <w:szCs w:val="20"/>
        </w:rPr>
        <w:t xml:space="preserve"> a reorganization aimed at optimizing and improving its technology, cybersecurity, data, and artificial intelligence (AI) strategy and policy functions. Previously, </w:t>
      </w:r>
      <w:r w:rsidR="004E7A5A">
        <w:rPr>
          <w:rFonts w:cs="Poppins"/>
          <w:szCs w:val="20"/>
        </w:rPr>
        <w:t>these responsibilities were distributed</w:t>
      </w:r>
      <w:r w:rsidRPr="005418D5">
        <w:rPr>
          <w:rFonts w:cs="Poppins"/>
          <w:szCs w:val="20"/>
        </w:rPr>
        <w:t xml:space="preserve"> across the Office of the National Coordinator for Health Information Technology (ONC), the Assistant Secretary for Administration (ASA), and the Administration for Strategic Preparedness and Response (ASPR). Additionally, </w:t>
      </w:r>
      <w:r w:rsidR="005B257C">
        <w:rPr>
          <w:rFonts w:cs="Poppins"/>
          <w:szCs w:val="20"/>
        </w:rPr>
        <w:t xml:space="preserve">HHS </w:t>
      </w:r>
      <w:r w:rsidRPr="005418D5">
        <w:rPr>
          <w:rFonts w:cs="Poppins"/>
          <w:szCs w:val="20"/>
        </w:rPr>
        <w:t>will establish an Office of the Chief Technology Officer</w:t>
      </w:r>
      <w:r w:rsidR="005B257C">
        <w:rPr>
          <w:rFonts w:cs="Poppins"/>
          <w:szCs w:val="20"/>
        </w:rPr>
        <w:t xml:space="preserve"> within </w:t>
      </w:r>
      <w:r w:rsidR="005B257C" w:rsidRPr="005418D5">
        <w:rPr>
          <w:rFonts w:cs="Poppins"/>
          <w:szCs w:val="20"/>
        </w:rPr>
        <w:t>ASTP/ONC</w:t>
      </w:r>
      <w:r w:rsidRPr="005418D5">
        <w:rPr>
          <w:rFonts w:cs="Poppins"/>
          <w:szCs w:val="20"/>
        </w:rPr>
        <w:t xml:space="preserve"> and reinstitute the role of Chief Technology Officer</w:t>
      </w:r>
      <w:r w:rsidR="00063658">
        <w:rPr>
          <w:rFonts w:cs="Poppins"/>
          <w:szCs w:val="20"/>
        </w:rPr>
        <w:t xml:space="preserve">. This position </w:t>
      </w:r>
      <w:r w:rsidRPr="005418D5">
        <w:rPr>
          <w:rFonts w:cs="Poppins"/>
          <w:szCs w:val="20"/>
        </w:rPr>
        <w:t xml:space="preserve">will oversee the Office of the </w:t>
      </w:r>
      <w:r w:rsidR="00A304EB">
        <w:rPr>
          <w:rFonts w:cs="Poppins"/>
          <w:szCs w:val="20"/>
        </w:rPr>
        <w:t>C</w:t>
      </w:r>
      <w:r w:rsidRPr="005418D5">
        <w:rPr>
          <w:rFonts w:cs="Poppins"/>
          <w:szCs w:val="20"/>
        </w:rPr>
        <w:t>hief AI Officer, Office of the Chief Data Officer, and a new Office of Digital Services. </w:t>
      </w:r>
    </w:p>
    <w:p w14:paraId="51FF4C2E" w14:textId="444AF66C" w:rsidR="003D5D0C" w:rsidRPr="00E007ED" w:rsidRDefault="005828B4" w:rsidP="003D5D0C">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SAMHSA Awards $45.1 Million to Expand Mental Health and Substance Use Services</w:t>
      </w:r>
    </w:p>
    <w:p w14:paraId="7DF8EF3F" w14:textId="0A3696B1" w:rsidR="003D5D0C" w:rsidRPr="003D5D0C" w:rsidRDefault="005418D5" w:rsidP="003D5D0C">
      <w:pPr>
        <w:spacing w:after="0" w:line="240" w:lineRule="auto"/>
        <w:ind w:left="360"/>
        <w:rPr>
          <w:rFonts w:cs="Poppins"/>
          <w:i/>
          <w:iCs/>
          <w:szCs w:val="20"/>
        </w:rPr>
      </w:pPr>
      <w:r w:rsidRPr="005418D5">
        <w:rPr>
          <w:rFonts w:cs="Poppins"/>
          <w:szCs w:val="20"/>
        </w:rPr>
        <w:t xml:space="preserve">The U.S. Department of Health and Human Services (HHS), through the Substance Abuse and Mental Health Services Administration (SAMHSA), </w:t>
      </w:r>
      <w:hyperlink r:id="rId17" w:tgtFrame="_blank" w:history="1">
        <w:r w:rsidRPr="005418D5">
          <w:rPr>
            <w:rStyle w:val="Hyperlink"/>
            <w:rFonts w:cs="Poppins"/>
            <w:szCs w:val="20"/>
          </w:rPr>
          <w:t>announced</w:t>
        </w:r>
      </w:hyperlink>
      <w:r w:rsidRPr="005418D5">
        <w:rPr>
          <w:rFonts w:cs="Poppins"/>
          <w:szCs w:val="20"/>
        </w:rPr>
        <w:t xml:space="preserve"> $45.1 million in grant awards to address the mental health and overdose crises. The </w:t>
      </w:r>
      <w:r w:rsidR="00B6743B">
        <w:rPr>
          <w:rFonts w:cs="Poppins"/>
          <w:szCs w:val="20"/>
        </w:rPr>
        <w:t>grant</w:t>
      </w:r>
      <w:r w:rsidR="00DF2750">
        <w:rPr>
          <w:rFonts w:cs="Poppins"/>
          <w:szCs w:val="20"/>
        </w:rPr>
        <w:t>s</w:t>
      </w:r>
      <w:r w:rsidRPr="005418D5">
        <w:rPr>
          <w:rFonts w:cs="Poppins"/>
          <w:szCs w:val="20"/>
        </w:rPr>
        <w:t xml:space="preserve"> </w:t>
      </w:r>
      <w:r w:rsidR="00DF2750">
        <w:rPr>
          <w:rFonts w:cs="Poppins"/>
          <w:szCs w:val="20"/>
        </w:rPr>
        <w:t>will fund a variety of</w:t>
      </w:r>
      <w:r w:rsidRPr="005418D5">
        <w:rPr>
          <w:rFonts w:cs="Poppins"/>
          <w:szCs w:val="20"/>
        </w:rPr>
        <w:t xml:space="preserve"> behavioral health initiatives, including services for homeless individuals, school-based mental health programs, </w:t>
      </w:r>
      <w:r w:rsidR="00470FEB" w:rsidRPr="005418D5">
        <w:rPr>
          <w:rFonts w:cs="Poppins"/>
          <w:szCs w:val="20"/>
        </w:rPr>
        <w:t>trauma,</w:t>
      </w:r>
      <w:r w:rsidRPr="005418D5">
        <w:rPr>
          <w:rFonts w:cs="Poppins"/>
          <w:szCs w:val="20"/>
        </w:rPr>
        <w:t xml:space="preserve"> and grief treatment, supported employment for adults with mental health conditions, and HIV/AIDS substance use treatment for minority populations. These </w:t>
      </w:r>
      <w:r w:rsidR="00BC4807">
        <w:rPr>
          <w:rFonts w:cs="Poppins"/>
          <w:szCs w:val="20"/>
        </w:rPr>
        <w:t>efforts</w:t>
      </w:r>
      <w:r w:rsidRPr="005418D5">
        <w:rPr>
          <w:rFonts w:cs="Poppins"/>
          <w:szCs w:val="20"/>
        </w:rPr>
        <w:t xml:space="preserve"> align with SAMHSA</w:t>
      </w:r>
      <w:r w:rsidR="00BD3928">
        <w:rPr>
          <w:rFonts w:cs="Poppins"/>
          <w:szCs w:val="20"/>
        </w:rPr>
        <w:t xml:space="preserve">’s mission </w:t>
      </w:r>
      <w:r w:rsidRPr="005418D5">
        <w:rPr>
          <w:rFonts w:cs="Poppins"/>
          <w:szCs w:val="20"/>
        </w:rPr>
        <w:t>to promote mental health, prevent substance misuse, and provide recovery supports, ensuring equitable access to services and better outcomes. </w:t>
      </w:r>
    </w:p>
    <w:p w14:paraId="6BC2F917" w14:textId="26060F3F" w:rsidR="003D5D0C" w:rsidRPr="00E007ED" w:rsidRDefault="00405BFA" w:rsidP="003D5D0C">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Kids Online Safety Task Force Releases Recommendations and Best Practices for Safe Internet</w:t>
      </w:r>
    </w:p>
    <w:p w14:paraId="4B71E74B" w14:textId="01F824EE" w:rsidR="003D5D0C" w:rsidRPr="003D5D0C" w:rsidRDefault="005418D5" w:rsidP="003D5D0C">
      <w:pPr>
        <w:spacing w:after="0" w:line="240" w:lineRule="auto"/>
        <w:ind w:left="360"/>
        <w:rPr>
          <w:rFonts w:cs="Poppins"/>
          <w:color w:val="000000"/>
          <w:shd w:val="clear" w:color="auto" w:fill="FFFFFF"/>
        </w:rPr>
      </w:pPr>
      <w:r>
        <w:rPr>
          <w:rStyle w:val="normaltextrun"/>
          <w:rFonts w:cs="Poppins"/>
          <w:color w:val="000000"/>
          <w:szCs w:val="20"/>
          <w:shd w:val="clear" w:color="auto" w:fill="FFFFFF"/>
        </w:rPr>
        <w:t>T</w:t>
      </w:r>
      <w:r w:rsidRPr="005418D5">
        <w:rPr>
          <w:rFonts w:cs="Poppins"/>
          <w:color w:val="000000"/>
          <w:szCs w:val="20"/>
          <w:shd w:val="clear" w:color="auto" w:fill="FFFFFF"/>
        </w:rPr>
        <w:t xml:space="preserve">he Kids Online Safety Task Force, co-led by the Department of Health and Human Services’ (HHS) Substance Abuse and Mental Health Services Administration (SAMHSA) and the Department of Commerce’s (DOC) National Telecommunications and Information Administration (NTIA), </w:t>
      </w:r>
      <w:hyperlink r:id="rId18" w:tgtFrame="_blank" w:history="1">
        <w:r w:rsidRPr="005418D5">
          <w:rPr>
            <w:rStyle w:val="Hyperlink"/>
            <w:rFonts w:cs="Poppins"/>
            <w:szCs w:val="20"/>
            <w:shd w:val="clear" w:color="auto" w:fill="FFFFFF"/>
          </w:rPr>
          <w:t>released</w:t>
        </w:r>
      </w:hyperlink>
      <w:r w:rsidRPr="005418D5">
        <w:rPr>
          <w:rFonts w:cs="Poppins"/>
          <w:color w:val="000000"/>
          <w:szCs w:val="20"/>
          <w:shd w:val="clear" w:color="auto" w:fill="FFFFFF"/>
        </w:rPr>
        <w:t xml:space="preserve"> a report </w:t>
      </w:r>
      <w:r w:rsidR="008310F7">
        <w:rPr>
          <w:rFonts w:cs="Poppins"/>
          <w:color w:val="000000"/>
          <w:szCs w:val="20"/>
          <w:shd w:val="clear" w:color="auto" w:fill="FFFFFF"/>
        </w:rPr>
        <w:t>outlining</w:t>
      </w:r>
      <w:r w:rsidRPr="005418D5">
        <w:rPr>
          <w:rFonts w:cs="Poppins"/>
          <w:color w:val="000000"/>
          <w:szCs w:val="20"/>
          <w:shd w:val="clear" w:color="auto" w:fill="FFFFFF"/>
        </w:rPr>
        <w:t xml:space="preserve"> recommendations and best practices for social media and online platform safe use for youth. </w:t>
      </w:r>
      <w:r w:rsidR="007C45B8">
        <w:rPr>
          <w:rFonts w:cs="Poppins"/>
          <w:color w:val="000000"/>
          <w:szCs w:val="20"/>
          <w:shd w:val="clear" w:color="auto" w:fill="FFFFFF"/>
        </w:rPr>
        <w:t>Convened to address the youth mental health crisis, t</w:t>
      </w:r>
      <w:r w:rsidRPr="005418D5">
        <w:rPr>
          <w:rFonts w:cs="Poppins"/>
          <w:color w:val="000000"/>
          <w:szCs w:val="20"/>
          <w:shd w:val="clear" w:color="auto" w:fill="FFFFFF"/>
        </w:rPr>
        <w:t xml:space="preserve">he task force received input from youth advocates, civil society organizations, academic researchers, and other industry experts. The </w:t>
      </w:r>
      <w:hyperlink r:id="rId19" w:tgtFrame="_blank" w:history="1">
        <w:r w:rsidRPr="005418D5">
          <w:rPr>
            <w:rStyle w:val="Hyperlink"/>
            <w:rFonts w:cs="Poppins"/>
            <w:szCs w:val="20"/>
            <w:shd w:val="clear" w:color="auto" w:fill="FFFFFF"/>
          </w:rPr>
          <w:t>report</w:t>
        </w:r>
      </w:hyperlink>
      <w:r w:rsidRPr="005418D5">
        <w:rPr>
          <w:rFonts w:cs="Poppins"/>
          <w:color w:val="000000"/>
          <w:szCs w:val="20"/>
          <w:shd w:val="clear" w:color="auto" w:fill="FFFFFF"/>
        </w:rPr>
        <w:t xml:space="preserve"> provides a summary of </w:t>
      </w:r>
      <w:r w:rsidR="007643CE">
        <w:rPr>
          <w:rFonts w:cs="Poppins"/>
          <w:color w:val="000000"/>
          <w:szCs w:val="20"/>
          <w:shd w:val="clear" w:color="auto" w:fill="FFFFFF"/>
        </w:rPr>
        <w:t xml:space="preserve">the </w:t>
      </w:r>
      <w:r w:rsidRPr="005418D5">
        <w:rPr>
          <w:rFonts w:cs="Poppins"/>
          <w:color w:val="000000"/>
          <w:szCs w:val="20"/>
          <w:shd w:val="clear" w:color="auto" w:fill="FFFFFF"/>
        </w:rPr>
        <w:t xml:space="preserve">risks and benefits to social media, best practices to support parents and caregivers, recommended industry practices, a research agenda, and future work. Resources for parents and caregivers were developed in conjunction with the </w:t>
      </w:r>
      <w:hyperlink r:id="rId20" w:tgtFrame="_blank" w:history="1">
        <w:r w:rsidRPr="005418D5">
          <w:rPr>
            <w:rStyle w:val="Hyperlink"/>
            <w:rFonts w:cs="Poppins"/>
            <w:szCs w:val="20"/>
            <w:shd w:val="clear" w:color="auto" w:fill="FFFFFF"/>
          </w:rPr>
          <w:t>Center of Excellence on Social Media and Youth</w:t>
        </w:r>
      </w:hyperlink>
      <w:r w:rsidR="00544157">
        <w:rPr>
          <w:rFonts w:cs="Poppins"/>
          <w:color w:val="000000"/>
          <w:szCs w:val="20"/>
          <w:shd w:val="clear" w:color="auto" w:fill="FFFFFF"/>
        </w:rPr>
        <w:t>,</w:t>
      </w:r>
      <w:r w:rsidRPr="005418D5">
        <w:rPr>
          <w:rFonts w:cs="Poppins"/>
          <w:color w:val="000000"/>
          <w:szCs w:val="20"/>
          <w:shd w:val="clear" w:color="auto" w:fill="FFFFFF"/>
        </w:rPr>
        <w:t xml:space="preserve"> led by the American Academy of Pediatrics. </w:t>
      </w:r>
    </w:p>
    <w:p w14:paraId="7557CEA7" w14:textId="3F1062FF" w:rsidR="00F34182" w:rsidRPr="00E007ED" w:rsidRDefault="00EC0A64" w:rsidP="00F34182">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ASPR Awards Funding to Bolster American-Made Medicine Ingredient Production</w:t>
      </w:r>
    </w:p>
    <w:p w14:paraId="08A42235" w14:textId="4D3424A9" w:rsidR="00193422" w:rsidRPr="00F34182" w:rsidRDefault="005418D5" w:rsidP="00193422">
      <w:pPr>
        <w:spacing w:after="0" w:line="240" w:lineRule="auto"/>
        <w:ind w:left="360"/>
        <w:rPr>
          <w:rFonts w:cs="Poppins"/>
          <w:szCs w:val="20"/>
        </w:rPr>
      </w:pPr>
      <w:r w:rsidRPr="005418D5">
        <w:rPr>
          <w:rFonts w:cs="Poppins"/>
          <w:szCs w:val="20"/>
        </w:rPr>
        <w:t xml:space="preserve">The Administration for Strategic Preparedness and Response (ASPR), part of the U.S. Department of Health and Human Services (HHS), </w:t>
      </w:r>
      <w:hyperlink r:id="rId21" w:tgtFrame="_blank" w:history="1">
        <w:r w:rsidRPr="005418D5">
          <w:rPr>
            <w:rStyle w:val="Hyperlink"/>
            <w:rFonts w:cs="Poppins"/>
            <w:szCs w:val="20"/>
          </w:rPr>
          <w:t>announced</w:t>
        </w:r>
      </w:hyperlink>
      <w:r w:rsidRPr="005418D5">
        <w:rPr>
          <w:rFonts w:cs="Poppins"/>
          <w:szCs w:val="20"/>
        </w:rPr>
        <w:t xml:space="preserve"> $18.5 million in awards for two American companies </w:t>
      </w:r>
      <w:r w:rsidR="000709DF">
        <w:rPr>
          <w:rFonts w:cs="Poppins"/>
          <w:szCs w:val="20"/>
        </w:rPr>
        <w:t>to strengthen</w:t>
      </w:r>
      <w:r w:rsidRPr="005418D5">
        <w:rPr>
          <w:rFonts w:cs="Poppins"/>
          <w:szCs w:val="20"/>
        </w:rPr>
        <w:t xml:space="preserve"> the nation’s </w:t>
      </w:r>
      <w:r w:rsidR="00A45F8D">
        <w:rPr>
          <w:rFonts w:cs="Poppins"/>
          <w:szCs w:val="20"/>
        </w:rPr>
        <w:t>production</w:t>
      </w:r>
      <w:r w:rsidRPr="005418D5">
        <w:rPr>
          <w:rFonts w:cs="Poppins"/>
          <w:szCs w:val="20"/>
        </w:rPr>
        <w:t xml:space="preserve"> of key materials and active ingredients necessary </w:t>
      </w:r>
      <w:r w:rsidR="00A45F8D">
        <w:rPr>
          <w:rFonts w:cs="Poppins"/>
          <w:szCs w:val="20"/>
        </w:rPr>
        <w:t>for manufacturing</w:t>
      </w:r>
      <w:r w:rsidRPr="005418D5">
        <w:rPr>
          <w:rFonts w:cs="Poppins"/>
          <w:szCs w:val="20"/>
        </w:rPr>
        <w:t xml:space="preserve"> essential medicines. The awards are the first through ASPR’s Biopharmaceutical Manufacturing Preparedness (</w:t>
      </w:r>
      <w:proofErr w:type="spellStart"/>
      <w:r w:rsidRPr="005418D5">
        <w:rPr>
          <w:rFonts w:cs="Poppins"/>
          <w:szCs w:val="20"/>
        </w:rPr>
        <w:t>BioMaP</w:t>
      </w:r>
      <w:proofErr w:type="spellEnd"/>
      <w:r w:rsidRPr="005418D5">
        <w:rPr>
          <w:rFonts w:cs="Poppins"/>
          <w:szCs w:val="20"/>
        </w:rPr>
        <w:t xml:space="preserve">)-Consortium, a public-private </w:t>
      </w:r>
      <w:hyperlink r:id="rId22" w:tgtFrame="_blank" w:history="1">
        <w:r w:rsidRPr="005418D5">
          <w:rPr>
            <w:rStyle w:val="Hyperlink"/>
            <w:rFonts w:cs="Poppins"/>
            <w:szCs w:val="20"/>
          </w:rPr>
          <w:t>partnership</w:t>
        </w:r>
      </w:hyperlink>
      <w:r w:rsidR="00B657A3" w:rsidRPr="00B657A3">
        <w:rPr>
          <w:rFonts w:cs="Poppins"/>
          <w:szCs w:val="20"/>
        </w:rPr>
        <w:t xml:space="preserve"> </w:t>
      </w:r>
      <w:r w:rsidRPr="005418D5">
        <w:rPr>
          <w:rFonts w:cs="Poppins"/>
          <w:szCs w:val="20"/>
        </w:rPr>
        <w:t xml:space="preserve">established earlier this year. The funding </w:t>
      </w:r>
      <w:r w:rsidR="007F5640">
        <w:rPr>
          <w:rFonts w:cs="Poppins"/>
          <w:szCs w:val="20"/>
        </w:rPr>
        <w:t>aims to reduce</w:t>
      </w:r>
      <w:r w:rsidRPr="005418D5">
        <w:rPr>
          <w:rFonts w:cs="Poppins"/>
          <w:szCs w:val="20"/>
        </w:rPr>
        <w:t xml:space="preserve"> the U.S.’s </w:t>
      </w:r>
      <w:r w:rsidR="007F5640">
        <w:rPr>
          <w:rFonts w:cs="Poppins"/>
          <w:szCs w:val="20"/>
        </w:rPr>
        <w:t>dependence</w:t>
      </w:r>
      <w:r w:rsidRPr="005418D5">
        <w:rPr>
          <w:rFonts w:cs="Poppins"/>
          <w:szCs w:val="20"/>
        </w:rPr>
        <w:t xml:space="preserve"> on foreign-made ingredients</w:t>
      </w:r>
      <w:r w:rsidR="00842FB3">
        <w:rPr>
          <w:rFonts w:cs="Poppins"/>
          <w:szCs w:val="20"/>
        </w:rPr>
        <w:t>, lower</w:t>
      </w:r>
      <w:r w:rsidRPr="005418D5">
        <w:rPr>
          <w:rFonts w:cs="Poppins"/>
          <w:szCs w:val="20"/>
        </w:rPr>
        <w:t xml:space="preserve"> production costs</w:t>
      </w:r>
      <w:r w:rsidR="00842FB3">
        <w:rPr>
          <w:rFonts w:cs="Poppins"/>
          <w:szCs w:val="20"/>
        </w:rPr>
        <w:t>,</w:t>
      </w:r>
      <w:r w:rsidRPr="005418D5">
        <w:rPr>
          <w:rFonts w:cs="Poppins"/>
          <w:szCs w:val="20"/>
        </w:rPr>
        <w:t xml:space="preserve"> and increas</w:t>
      </w:r>
      <w:r w:rsidR="00842FB3">
        <w:rPr>
          <w:rFonts w:cs="Poppins"/>
          <w:szCs w:val="20"/>
        </w:rPr>
        <w:t xml:space="preserve">e </w:t>
      </w:r>
      <w:r w:rsidRPr="005418D5">
        <w:rPr>
          <w:rFonts w:cs="Poppins"/>
          <w:szCs w:val="20"/>
        </w:rPr>
        <w:t>reliability. Antheia, a California-based firm, will receive about $11 million to support U.S.-based production of pharmaceutical ingredients, while Virginia-based Capra Biosciences will receive about $7.5 million to leverage its bioreactor platform to manufacture three active pharmaceutical ingredients. Since 2019, ASPR has invested more than $325 million to develop domestic production capabilities for active pharmaceutical ingredients. </w:t>
      </w:r>
    </w:p>
    <w:p w14:paraId="74ACAF3A" w14:textId="60955ABC" w:rsidR="006710C0" w:rsidRPr="00E007ED" w:rsidRDefault="005828B4"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Senate HELP Committee Votes to Investigate Bankruptcy of Steward Health Care</w:t>
      </w:r>
    </w:p>
    <w:p w14:paraId="51878037" w14:textId="4E749708" w:rsidR="00193422" w:rsidRPr="006710C0" w:rsidRDefault="00193422" w:rsidP="00193422">
      <w:pPr>
        <w:spacing w:after="0" w:line="240" w:lineRule="auto"/>
        <w:ind w:left="360"/>
        <w:rPr>
          <w:rFonts w:cs="Poppins"/>
          <w:szCs w:val="20"/>
        </w:rPr>
      </w:pPr>
      <w:r w:rsidRPr="00193422">
        <w:rPr>
          <w:rFonts w:cs="Poppins"/>
          <w:szCs w:val="20"/>
        </w:rPr>
        <w:t>T</w:t>
      </w:r>
      <w:r w:rsidR="005418D5" w:rsidRPr="005418D5">
        <w:rPr>
          <w:rFonts w:cs="Poppins"/>
          <w:szCs w:val="20"/>
        </w:rPr>
        <w:t xml:space="preserve">he Senate Health, Education, Labor, and Pensions (HELP) Committee </w:t>
      </w:r>
      <w:hyperlink r:id="rId23" w:tgtFrame="_blank" w:history="1">
        <w:r w:rsidR="005418D5" w:rsidRPr="005418D5">
          <w:rPr>
            <w:rStyle w:val="Hyperlink"/>
            <w:rFonts w:cs="Poppins"/>
            <w:szCs w:val="20"/>
          </w:rPr>
          <w:t>voted</w:t>
        </w:r>
      </w:hyperlink>
      <w:r w:rsidR="005418D5" w:rsidRPr="005418D5">
        <w:rPr>
          <w:rFonts w:cs="Poppins"/>
          <w:szCs w:val="20"/>
        </w:rPr>
        <w:t xml:space="preserve"> 20-1 to investigate the bankruptcy of Steward Health Care and to issue a subpoena of Ralph de la Torre, CEO and Chairman of Steward. Senator Rand Paul (R-KY) was the only member to vote against. Ralph de la Torre will be expected at a hearing on September 12th, titled “Examining the Bankruptcy of Steward Health Care: How Management Decisions Have Impacted Patient Care.” Chairman Bernie Sanders (I-VT) and Ranking Member (R-LA) previously </w:t>
      </w:r>
      <w:hyperlink r:id="rId24" w:tgtFrame="_blank" w:history="1">
        <w:r w:rsidR="005418D5" w:rsidRPr="005418D5">
          <w:rPr>
            <w:rStyle w:val="Hyperlink"/>
            <w:rFonts w:cs="Poppins"/>
            <w:szCs w:val="20"/>
          </w:rPr>
          <w:t>invited</w:t>
        </w:r>
      </w:hyperlink>
      <w:r w:rsidR="005418D5" w:rsidRPr="005418D5">
        <w:rPr>
          <w:rFonts w:cs="Poppins"/>
          <w:szCs w:val="20"/>
        </w:rPr>
        <w:t xml:space="preserve"> De la Torre to testify in front of the committee, </w:t>
      </w:r>
      <w:r w:rsidR="00FB05DD">
        <w:rPr>
          <w:rFonts w:cs="Poppins"/>
          <w:szCs w:val="20"/>
        </w:rPr>
        <w:t>but</w:t>
      </w:r>
      <w:r w:rsidR="005418D5" w:rsidRPr="005418D5">
        <w:rPr>
          <w:rFonts w:cs="Poppins"/>
          <w:szCs w:val="20"/>
        </w:rPr>
        <w:t xml:space="preserve"> he declined. Steward Health Care is also reportedly under </w:t>
      </w:r>
      <w:hyperlink r:id="rId25" w:tgtFrame="_blank" w:history="1">
        <w:r w:rsidR="005418D5" w:rsidRPr="005418D5">
          <w:rPr>
            <w:rStyle w:val="Hyperlink"/>
            <w:rFonts w:cs="Poppins"/>
            <w:szCs w:val="20"/>
          </w:rPr>
          <w:t>investigation</w:t>
        </w:r>
      </w:hyperlink>
      <w:r w:rsidR="005418D5" w:rsidRPr="005418D5">
        <w:rPr>
          <w:rFonts w:cs="Poppins"/>
          <w:szCs w:val="20"/>
        </w:rPr>
        <w:t xml:space="preserve"> by the Department of Justice and </w:t>
      </w:r>
      <w:r w:rsidR="00854350">
        <w:rPr>
          <w:rFonts w:cs="Poppins"/>
          <w:szCs w:val="20"/>
        </w:rPr>
        <w:t>faces</w:t>
      </w:r>
      <w:r w:rsidR="005418D5" w:rsidRPr="005418D5">
        <w:rPr>
          <w:rFonts w:cs="Poppins"/>
          <w:szCs w:val="20"/>
        </w:rPr>
        <w:t xml:space="preserve"> </w:t>
      </w:r>
      <w:hyperlink r:id="rId26" w:tgtFrame="_blank" w:history="1">
        <w:r w:rsidR="005418D5" w:rsidRPr="005418D5">
          <w:rPr>
            <w:rStyle w:val="Hyperlink"/>
            <w:rFonts w:cs="Poppins"/>
            <w:szCs w:val="20"/>
          </w:rPr>
          <w:t>legal</w:t>
        </w:r>
      </w:hyperlink>
      <w:r w:rsidR="005418D5" w:rsidRPr="005418D5">
        <w:rPr>
          <w:rFonts w:cs="Poppins"/>
          <w:szCs w:val="20"/>
        </w:rPr>
        <w:t xml:space="preserve"> trouble in Malta for alleged fraud and corruption. </w:t>
      </w:r>
    </w:p>
    <w:p w14:paraId="384187B1" w14:textId="5E41F6AB" w:rsidR="00500ECF" w:rsidRPr="00E007ED" w:rsidRDefault="00405BFA" w:rsidP="00500ECF">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Senate Democrats Introduce Bill to Codify the Chevron Doctrine</w:t>
      </w:r>
    </w:p>
    <w:p w14:paraId="071359A9" w14:textId="56CDEDE0" w:rsidR="004F700C" w:rsidRPr="004F700C" w:rsidRDefault="005418D5" w:rsidP="004F700C">
      <w:pPr>
        <w:spacing w:after="0" w:line="240" w:lineRule="auto"/>
        <w:ind w:left="360"/>
        <w:rPr>
          <w:rFonts w:cs="Poppins"/>
          <w:color w:val="000000"/>
          <w:shd w:val="clear" w:color="auto" w:fill="FFFFFF"/>
        </w:rPr>
      </w:pPr>
      <w:r w:rsidRPr="005418D5">
        <w:rPr>
          <w:rFonts w:cs="Poppins"/>
          <w:szCs w:val="20"/>
        </w:rPr>
        <w:t xml:space="preserve">A group of Senate Democrats, led by Senator Elizabeth Warren (D-MA), </w:t>
      </w:r>
      <w:hyperlink r:id="rId27" w:tgtFrame="_blank" w:history="1">
        <w:r w:rsidRPr="005418D5">
          <w:rPr>
            <w:rStyle w:val="Hyperlink"/>
            <w:rFonts w:cs="Poppins"/>
            <w:szCs w:val="20"/>
          </w:rPr>
          <w:t>introduced</w:t>
        </w:r>
      </w:hyperlink>
      <w:r w:rsidRPr="005418D5">
        <w:rPr>
          <w:rFonts w:cs="Poppins"/>
          <w:szCs w:val="20"/>
        </w:rPr>
        <w:t xml:space="preserve"> (</w:t>
      </w:r>
      <w:hyperlink r:id="rId28" w:tgtFrame="_blank" w:history="1">
        <w:r w:rsidRPr="005418D5">
          <w:rPr>
            <w:rStyle w:val="Hyperlink"/>
            <w:rFonts w:cs="Poppins"/>
            <w:szCs w:val="20"/>
          </w:rPr>
          <w:t>press release</w:t>
        </w:r>
      </w:hyperlink>
      <w:r w:rsidRPr="005418D5">
        <w:rPr>
          <w:rFonts w:cs="Poppins"/>
          <w:szCs w:val="20"/>
        </w:rPr>
        <w:t xml:space="preserve">) the Stop Corporate Capture Act (SCCA). </w:t>
      </w:r>
      <w:r w:rsidR="001C7596" w:rsidRPr="001C7596">
        <w:rPr>
          <w:rFonts w:cs="Poppins"/>
          <w:szCs w:val="20"/>
        </w:rPr>
        <w:t>This bill aims to codify the Chevron doctrine, which allows regulatory agencies to write rules to implement laws passed by Congress, a precedent that stood for forty years before a recent Supreme Court ruling. The SCCA seeks to strengthen the rulemaking process by protecting and codifying Chevron deference, modernizing and reforming the regulatory process, expanding public participation in rulemaking, and increasing transparency and independent expertise in the rulemaking process.</w:t>
      </w:r>
    </w:p>
    <w:p w14:paraId="42EBE63B" w14:textId="10BEF18A" w:rsidR="006710C0" w:rsidRPr="00E007ED" w:rsidRDefault="005828B4" w:rsidP="006710C0">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Healthsperien Releases CY 2025 MPFS Proposed Rule Summary</w:t>
      </w:r>
    </w:p>
    <w:p w14:paraId="7BFFB243" w14:textId="5447C82B" w:rsidR="00193422" w:rsidRPr="006710C0" w:rsidRDefault="005418D5" w:rsidP="00193422">
      <w:pPr>
        <w:spacing w:after="0" w:line="240" w:lineRule="auto"/>
        <w:ind w:left="360"/>
        <w:rPr>
          <w:rFonts w:cs="Poppins"/>
          <w:szCs w:val="20"/>
        </w:rPr>
      </w:pPr>
      <w:r w:rsidRPr="005418D5">
        <w:rPr>
          <w:rFonts w:cs="Poppins"/>
          <w:szCs w:val="20"/>
        </w:rPr>
        <w:t xml:space="preserve">On July 10, 2024, the Centers for Medicare and Medicaid Services (CMS) released the calendar year (CY) 2025 Medicare Physician Fee Schedule (MPFS) </w:t>
      </w:r>
      <w:hyperlink r:id="rId29" w:tgtFrame="_blank" w:history="1">
        <w:r w:rsidRPr="005418D5">
          <w:rPr>
            <w:rStyle w:val="Hyperlink"/>
            <w:rFonts w:cs="Poppins"/>
            <w:szCs w:val="20"/>
          </w:rPr>
          <w:t>proposed rule</w:t>
        </w:r>
      </w:hyperlink>
      <w:r w:rsidRPr="005418D5">
        <w:rPr>
          <w:rFonts w:cs="Poppins"/>
          <w:szCs w:val="20"/>
        </w:rPr>
        <w:t xml:space="preserve"> and </w:t>
      </w:r>
      <w:hyperlink r:id="rId30" w:tgtFrame="_blank" w:history="1">
        <w:r w:rsidRPr="005418D5">
          <w:rPr>
            <w:rStyle w:val="Hyperlink"/>
            <w:rFonts w:cs="Poppins"/>
            <w:szCs w:val="20"/>
          </w:rPr>
          <w:t>fact sheet</w:t>
        </w:r>
      </w:hyperlink>
      <w:r w:rsidRPr="005418D5">
        <w:rPr>
          <w:rFonts w:cs="Poppins"/>
          <w:szCs w:val="20"/>
        </w:rPr>
        <w:t xml:space="preserve">. The proposed rule is one of several recently proposed rules by CMS that reflect a broader Administration-wide strategy to create a more equitable health care system that results in better access to care, quality, affordability, and innovation. Notably, </w:t>
      </w:r>
      <w:r w:rsidR="00245951">
        <w:rPr>
          <w:rFonts w:cs="Poppins"/>
          <w:szCs w:val="20"/>
        </w:rPr>
        <w:t>the proposed rule includes a</w:t>
      </w:r>
      <w:r w:rsidRPr="005418D5">
        <w:rPr>
          <w:rFonts w:cs="Poppins"/>
          <w:szCs w:val="20"/>
        </w:rPr>
        <w:t xml:space="preserve"> 2.93% </w:t>
      </w:r>
      <w:r w:rsidR="00245951">
        <w:rPr>
          <w:rFonts w:cs="Poppins"/>
          <w:szCs w:val="20"/>
        </w:rPr>
        <w:t xml:space="preserve">reduction in overall payment rates </w:t>
      </w:r>
      <w:r w:rsidRPr="005418D5">
        <w:rPr>
          <w:rFonts w:cs="Poppins"/>
          <w:szCs w:val="20"/>
        </w:rPr>
        <w:t xml:space="preserve">in CY 2025 compared to CY 2024. The proposed CY 2025 MPFS conversion factor is $32.36, a decrease of $0.93, or 2.80%, from the current CY 2024 conversion factor of $33.29. Comments </w:t>
      </w:r>
      <w:r w:rsidR="007F1B20">
        <w:rPr>
          <w:rFonts w:cs="Poppins"/>
          <w:szCs w:val="20"/>
        </w:rPr>
        <w:t xml:space="preserve">on the proposed rule </w:t>
      </w:r>
      <w:r w:rsidRPr="005418D5">
        <w:rPr>
          <w:rFonts w:cs="Poppins"/>
          <w:szCs w:val="20"/>
        </w:rPr>
        <w:t xml:space="preserve">are due by September 9th. Healthsperien's comprehensive summary of the main provisions of the proposed rule can be found </w:t>
      </w:r>
      <w:hyperlink r:id="rId31" w:tgtFrame="_blank" w:history="1">
        <w:r w:rsidRPr="005418D5">
          <w:rPr>
            <w:rStyle w:val="Hyperlink"/>
            <w:rFonts w:cs="Poppins"/>
            <w:szCs w:val="20"/>
          </w:rPr>
          <w:t>here</w:t>
        </w:r>
      </w:hyperlink>
      <w:r w:rsidRPr="005418D5">
        <w:rPr>
          <w:rFonts w:cs="Poppins"/>
          <w:szCs w:val="20"/>
        </w:rPr>
        <w:t>. </w:t>
      </w:r>
    </w:p>
    <w:p w14:paraId="1894CADB" w14:textId="560B33DA" w:rsidR="00E33A26" w:rsidRPr="00E007ED" w:rsidRDefault="0071082E" w:rsidP="00E33A26">
      <w:pPr>
        <w:pStyle w:val="ListParagraph"/>
        <w:numPr>
          <w:ilvl w:val="0"/>
          <w:numId w:val="1"/>
        </w:numPr>
        <w:spacing w:before="240" w:after="0"/>
        <w:rPr>
          <w:rFonts w:cs="Poppins"/>
          <w:szCs w:val="20"/>
        </w:rPr>
      </w:pPr>
      <w:r>
        <w:rPr>
          <w:rFonts w:ascii="Poppins Medium" w:hAnsi="Poppins Medium" w:cs="Poppins Medium"/>
          <w:color w:val="0F4761" w:themeColor="accent1" w:themeShade="BF"/>
          <w:sz w:val="24"/>
          <w:szCs w:val="24"/>
        </w:rPr>
        <w:t>KFF Holds Webinar on Overturning of Chevron</w:t>
      </w:r>
    </w:p>
    <w:p w14:paraId="6AAD799C" w14:textId="27E6FA14" w:rsidR="00193422" w:rsidRDefault="00193422" w:rsidP="00193422">
      <w:pPr>
        <w:spacing w:after="0" w:line="240" w:lineRule="auto"/>
        <w:ind w:left="360"/>
        <w:rPr>
          <w:rFonts w:cs="Poppins"/>
          <w:szCs w:val="20"/>
        </w:rPr>
      </w:pPr>
      <w:r w:rsidRPr="00856B4D">
        <w:rPr>
          <w:rFonts w:cs="Poppins"/>
          <w:szCs w:val="20"/>
        </w:rPr>
        <w:t xml:space="preserve">The </w:t>
      </w:r>
      <w:r w:rsidR="005418D5" w:rsidRPr="005418D5">
        <w:rPr>
          <w:rFonts w:cs="Poppins"/>
          <w:szCs w:val="20"/>
        </w:rPr>
        <w:t xml:space="preserve">Kaiser Family Foundation (KFF) hosted a </w:t>
      </w:r>
      <w:hyperlink r:id="rId32" w:tgtFrame="_blank" w:history="1">
        <w:r w:rsidR="005418D5" w:rsidRPr="005418D5">
          <w:rPr>
            <w:rStyle w:val="Hyperlink"/>
            <w:rFonts w:cs="Poppins"/>
            <w:szCs w:val="20"/>
          </w:rPr>
          <w:t>webinar</w:t>
        </w:r>
      </w:hyperlink>
      <w:r w:rsidR="005418D5" w:rsidRPr="005418D5">
        <w:rPr>
          <w:rFonts w:cs="Poppins"/>
          <w:szCs w:val="20"/>
        </w:rPr>
        <w:t xml:space="preserve"> titled “The Health Wonk Shop: Beyond Chevron – How the Court’s Decision Will Change Health Policy Legislating and Rulemaking.” The discussion </w:t>
      </w:r>
      <w:r w:rsidR="000F1CB4">
        <w:rPr>
          <w:rFonts w:cs="Poppins"/>
          <w:szCs w:val="20"/>
        </w:rPr>
        <w:t>focused on</w:t>
      </w:r>
      <w:r w:rsidR="005418D5" w:rsidRPr="005418D5">
        <w:rPr>
          <w:rFonts w:cs="Poppins"/>
          <w:szCs w:val="20"/>
        </w:rPr>
        <w:t xml:space="preserve"> the future of rulemaking, lawmaking, and role of congressional staff after the </w:t>
      </w:r>
      <w:hyperlink r:id="rId33" w:tgtFrame="_blank" w:history="1">
        <w:r w:rsidR="005418D5" w:rsidRPr="005418D5">
          <w:rPr>
            <w:rStyle w:val="Hyperlink"/>
            <w:rFonts w:cs="Poppins"/>
            <w:szCs w:val="20"/>
          </w:rPr>
          <w:t>Loper Bright</w:t>
        </w:r>
      </w:hyperlink>
      <w:r w:rsidR="005418D5" w:rsidRPr="005418D5">
        <w:rPr>
          <w:rFonts w:cs="Poppins"/>
          <w:szCs w:val="20"/>
        </w:rPr>
        <w:t xml:space="preserve"> decision. The panelists evaluated potential impacts to Medicare, Medicaid, reproductive health care, and Employee Retirement Income Security Act (ERISA) among other topics. </w:t>
      </w:r>
      <w:r w:rsidR="000C496F" w:rsidRPr="000C496F">
        <w:rPr>
          <w:rFonts w:cs="Poppins"/>
          <w:szCs w:val="20"/>
        </w:rPr>
        <w:t>They expressed concern about increased litigation and administrative burden, noting that the Loper Bright decision did not establish a clear new doctrine, thereby making the outcome of future litigation uncertain and unpredictable.</w:t>
      </w:r>
      <w:r w:rsidR="000C496F">
        <w:rPr>
          <w:rFonts w:cs="Poppins"/>
          <w:szCs w:val="20"/>
        </w:rPr>
        <w:t xml:space="preserve"> </w:t>
      </w:r>
      <w:r w:rsidR="005418D5" w:rsidRPr="005418D5">
        <w:rPr>
          <w:rFonts w:cs="Poppins"/>
          <w:szCs w:val="20"/>
        </w:rPr>
        <w:t>Panelists included Cindy Mann, Partner at Manatt Health and former Centers for Medicaid and Medicare Services Deputy Administrator, Kaye Pestaina, Vice President and Director of the Program on Patient and Consumer Protection at KFF, Dean A. Rosen, Partner at Mehlman Consulting and former Chief Healthcare Advisor to Senate Majority Leader Bill Frist, and Laurie Sobel, Associate Director of Women’s Health Policy at KFF</w:t>
      </w:r>
      <w:r w:rsidR="00EE26C8">
        <w:rPr>
          <w:rFonts w:cs="Poppins"/>
          <w:szCs w:val="20"/>
        </w:rPr>
        <w:t xml:space="preserve">. The webinar </w:t>
      </w:r>
      <w:r w:rsidR="005418D5" w:rsidRPr="005418D5">
        <w:rPr>
          <w:rFonts w:cs="Poppins"/>
          <w:szCs w:val="20"/>
        </w:rPr>
        <w:t>was moderated by Larry Levitt, Executive Vice President for Health Policy at KFF. </w:t>
      </w:r>
    </w:p>
    <w:p w14:paraId="7C5B5302" w14:textId="77777777" w:rsidR="00EF1D87" w:rsidRPr="00500ECF" w:rsidRDefault="00EF1D87" w:rsidP="00C543D9">
      <w:pPr>
        <w:spacing w:after="0" w:line="240" w:lineRule="auto"/>
        <w:rPr>
          <w:rFonts w:cs="Poppins"/>
          <w:szCs w:val="20"/>
        </w:rPr>
      </w:pPr>
    </w:p>
    <w:p w14:paraId="5410A816" w14:textId="77777777" w:rsidR="00226ACA" w:rsidRPr="00330820" w:rsidRDefault="00226ACA" w:rsidP="009E754B">
      <w:pPr>
        <w:pStyle w:val="Heading1"/>
        <w:spacing w:before="0" w:after="0"/>
        <w:rPr>
          <w:rFonts w:ascii="Poppins SemiBold" w:hAnsi="Poppins SemiBold" w:cs="Poppins SemiBold"/>
          <w:sz w:val="8"/>
          <w:szCs w:val="8"/>
        </w:rPr>
      </w:pPr>
      <w:r w:rsidRPr="000C35CD">
        <w:rPr>
          <w:rFonts w:ascii="Poppins SemiBold" w:hAnsi="Poppins SemiBold" w:cs="Poppins SemiBold"/>
          <w:sz w:val="32"/>
          <w:szCs w:val="16"/>
        </w:rPr>
        <w:t>What’s on Tap</w:t>
      </w:r>
    </w:p>
    <w:p w14:paraId="46651A31" w14:textId="2D71148F" w:rsidR="00DA3481" w:rsidRDefault="00642C99" w:rsidP="00642C99">
      <w:pPr>
        <w:pStyle w:val="ListParagraph"/>
        <w:numPr>
          <w:ilvl w:val="0"/>
          <w:numId w:val="1"/>
        </w:numPr>
        <w:pBdr>
          <w:top w:val="nil"/>
          <w:left w:val="nil"/>
          <w:bottom w:val="nil"/>
          <w:right w:val="nil"/>
          <w:between w:val="nil"/>
        </w:pBdr>
        <w:rPr>
          <w:rFonts w:eastAsia="Calibri" w:cs="Poppins"/>
          <w:bCs/>
          <w:color w:val="000000"/>
          <w:szCs w:val="20"/>
        </w:rPr>
      </w:pPr>
      <w:r w:rsidRPr="00642C99">
        <w:rPr>
          <w:rFonts w:eastAsia="Calibri" w:cs="Poppins"/>
          <w:bCs/>
          <w:color w:val="000000"/>
          <w:szCs w:val="20"/>
        </w:rPr>
        <w:t xml:space="preserve">While the Senate is in session this week, the House has left early for its August recess, only passing four of the 12 spending bills they had hoped to advance prior to departing due to disagreements that </w:t>
      </w:r>
      <w:r w:rsidR="008E7151" w:rsidRPr="00642C99">
        <w:rPr>
          <w:rFonts w:eastAsia="Calibri" w:cs="Poppins"/>
          <w:bCs/>
          <w:color w:val="000000"/>
          <w:szCs w:val="20"/>
        </w:rPr>
        <w:t>would have</w:t>
      </w:r>
      <w:r w:rsidRPr="00642C99">
        <w:rPr>
          <w:rFonts w:eastAsia="Calibri" w:cs="Poppins"/>
          <w:bCs/>
          <w:color w:val="000000"/>
          <w:szCs w:val="20"/>
        </w:rPr>
        <w:t xml:space="preserve"> prevented passage. </w:t>
      </w:r>
    </w:p>
    <w:p w14:paraId="06DED868" w14:textId="126BA351" w:rsidR="00642C99" w:rsidRPr="00DA3481" w:rsidRDefault="00642C99" w:rsidP="00642C99">
      <w:pPr>
        <w:pStyle w:val="ListParagraph"/>
        <w:numPr>
          <w:ilvl w:val="0"/>
          <w:numId w:val="1"/>
        </w:numPr>
        <w:pBdr>
          <w:top w:val="nil"/>
          <w:left w:val="nil"/>
          <w:bottom w:val="nil"/>
          <w:right w:val="nil"/>
          <w:between w:val="nil"/>
        </w:pBdr>
        <w:rPr>
          <w:rFonts w:eastAsia="Calibri" w:cs="Poppins"/>
          <w:bCs/>
          <w:color w:val="000000"/>
          <w:szCs w:val="20"/>
        </w:rPr>
      </w:pPr>
      <w:r w:rsidRPr="00DA3481">
        <w:rPr>
          <w:rFonts w:eastAsia="Calibri" w:cs="Poppins"/>
          <w:bCs/>
          <w:color w:val="000000"/>
          <w:szCs w:val="20"/>
        </w:rPr>
        <w:t xml:space="preserve">This week, the Senate HELP committee meets to consider three pieces of legislation: the </w:t>
      </w:r>
      <w:hyperlink r:id="rId34" w:history="1">
        <w:r w:rsidRPr="00DA3481">
          <w:rPr>
            <w:rStyle w:val="Hyperlink"/>
            <w:rFonts w:eastAsia="Calibri" w:cs="Poppins"/>
            <w:bCs/>
            <w:szCs w:val="20"/>
          </w:rPr>
          <w:t>Older Americans Act Reauthorization Act</w:t>
        </w:r>
      </w:hyperlink>
      <w:r w:rsidRPr="00DA3481">
        <w:rPr>
          <w:rFonts w:eastAsia="Calibri" w:cs="Poppins"/>
          <w:bCs/>
          <w:color w:val="000000"/>
          <w:szCs w:val="20"/>
        </w:rPr>
        <w:t xml:space="preserve">, the </w:t>
      </w:r>
      <w:hyperlink r:id="rId35" w:history="1">
        <w:r w:rsidRPr="00DA3481">
          <w:rPr>
            <w:rStyle w:val="Hyperlink"/>
            <w:rFonts w:eastAsia="Calibri" w:cs="Poppins"/>
            <w:bCs/>
            <w:szCs w:val="20"/>
          </w:rPr>
          <w:t>Autism CARES Act</w:t>
        </w:r>
      </w:hyperlink>
      <w:r w:rsidRPr="00DA3481">
        <w:rPr>
          <w:rFonts w:eastAsia="Calibri" w:cs="Poppins"/>
          <w:bCs/>
          <w:color w:val="000000"/>
          <w:szCs w:val="20"/>
        </w:rPr>
        <w:t xml:space="preserve">, and the </w:t>
      </w:r>
      <w:hyperlink r:id="rId36" w:history="1">
        <w:r w:rsidRPr="00DA3481">
          <w:rPr>
            <w:rStyle w:val="Hyperlink"/>
            <w:rFonts w:eastAsia="Calibri" w:cs="Poppins"/>
            <w:bCs/>
            <w:szCs w:val="20"/>
          </w:rPr>
          <w:t>Traumatic Brain Injury Program Reauthorization Act</w:t>
        </w:r>
      </w:hyperlink>
      <w:r w:rsidRPr="00DA3481">
        <w:rPr>
          <w:rFonts w:eastAsia="Calibri" w:cs="Poppins"/>
          <w:bCs/>
          <w:color w:val="000000"/>
          <w:szCs w:val="20"/>
        </w:rPr>
        <w:t>. The Senate Appropriations Committee will hold a markup of the FY 2025 Labor-HHS-Education appropriation bill, among others.</w:t>
      </w:r>
    </w:p>
    <w:p w14:paraId="4D63F5A2" w14:textId="568C7BDF" w:rsidR="00330820" w:rsidRPr="00330820" w:rsidRDefault="00226ACA" w:rsidP="00330820">
      <w:pPr>
        <w:pStyle w:val="Heading1"/>
        <w:rPr>
          <w:rFonts w:ascii="Poppins SemiBold" w:hAnsi="Poppins SemiBold" w:cs="Poppins SemiBold"/>
          <w:sz w:val="32"/>
          <w:szCs w:val="16"/>
        </w:rPr>
      </w:pPr>
      <w:r w:rsidRPr="00CB3B30">
        <w:rPr>
          <w:rFonts w:ascii="Poppins SemiBold" w:hAnsi="Poppins SemiBold" w:cs="Poppins SemiBold"/>
          <w:sz w:val="32"/>
          <w:szCs w:val="16"/>
        </w:rPr>
        <w:t>Upcoming Event</w:t>
      </w:r>
      <w:r w:rsidR="00330820" w:rsidRPr="00CB3B30">
        <w:rPr>
          <w:rFonts w:ascii="Poppins SemiBold" w:hAnsi="Poppins SemiBold" w:cs="Poppins SemiBold"/>
          <w:sz w:val="32"/>
          <w:szCs w:val="16"/>
        </w:rPr>
        <w:t>s</w:t>
      </w:r>
    </w:p>
    <w:p w14:paraId="78B4789F" w14:textId="2ADE0953" w:rsidR="00330820" w:rsidRPr="00BB2A13" w:rsidRDefault="001A4A3F" w:rsidP="00330820">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Wednesday</w:t>
      </w:r>
    </w:p>
    <w:p w14:paraId="4083252F" w14:textId="3042AC0C" w:rsidR="00E17D68" w:rsidRPr="005B6186" w:rsidRDefault="00F27DF8" w:rsidP="001A4A3F">
      <w:pPr>
        <w:numPr>
          <w:ilvl w:val="0"/>
          <w:numId w:val="27"/>
        </w:numPr>
        <w:spacing w:after="240"/>
        <w:rPr>
          <w:rFonts w:eastAsiaTheme="minorEastAsia" w:cs="Poppins"/>
          <w:color w:val="000000" w:themeColor="text1"/>
          <w:szCs w:val="20"/>
        </w:rPr>
      </w:pPr>
      <w:r w:rsidRPr="005B6186">
        <w:rPr>
          <w:rFonts w:eastAsiaTheme="minorEastAsia" w:cs="Poppins"/>
          <w:color w:val="000000" w:themeColor="text1"/>
          <w:szCs w:val="20"/>
        </w:rPr>
        <w:t>The</w:t>
      </w:r>
      <w:r w:rsidR="0054478E" w:rsidRPr="005B6186">
        <w:rPr>
          <w:rFonts w:eastAsiaTheme="minorEastAsia" w:cs="Poppins"/>
          <w:color w:val="000000" w:themeColor="text1"/>
          <w:szCs w:val="20"/>
        </w:rPr>
        <w:t xml:space="preserve"> </w:t>
      </w:r>
      <w:r w:rsidR="0054478E" w:rsidRPr="005B6186">
        <w:rPr>
          <w:rFonts w:eastAsiaTheme="minorEastAsia" w:cs="Poppins"/>
          <w:color w:val="000000" w:themeColor="text1"/>
          <w:szCs w:val="20"/>
        </w:rPr>
        <w:t>Senate HELP Committee will hold an</w:t>
      </w:r>
      <w:r w:rsidRPr="005B6186">
        <w:rPr>
          <w:rFonts w:eastAsiaTheme="minorEastAsia" w:cs="Poppins"/>
          <w:color w:val="000000" w:themeColor="text1"/>
          <w:szCs w:val="20"/>
        </w:rPr>
        <w:t xml:space="preserve"> </w:t>
      </w:r>
      <w:hyperlink r:id="rId37" w:tgtFrame="_blank" w:tooltip="https://go.politicoemail.com/?qs=c8e6c1dd725965c435467c9fd8eb9d682b7d9b698ced4f4c54f0a26e69ced7f8f26432d851e7bcc6aab4c3cb53e4fe4f7df308ad7f402173" w:history="1">
        <w:r w:rsidR="0054478E" w:rsidRPr="005B6186">
          <w:rPr>
            <w:rStyle w:val="Hyperlink"/>
            <w:rFonts w:eastAsia="Calibri" w:cs="Poppins"/>
            <w:bCs/>
            <w:szCs w:val="20"/>
          </w:rPr>
          <w:t>executive session</w:t>
        </w:r>
      </w:hyperlink>
      <w:r w:rsidR="0054478E" w:rsidRPr="005B6186">
        <w:rPr>
          <w:rFonts w:eastAsia="Calibri" w:cs="Poppins"/>
          <w:bCs/>
          <w:color w:val="000000"/>
          <w:szCs w:val="20"/>
        </w:rPr>
        <w:t xml:space="preserve"> to consider the Older Americans Act Reauthorization Act (Sec. 4776), Autism CARES Act (S. 4762) and the Traumatic Brain Injury Program Reauthorization Act (Sec. 4755)</w:t>
      </w:r>
      <w:r w:rsidR="00FD0155" w:rsidRPr="005B6186">
        <w:rPr>
          <w:rFonts w:eastAsia="Calibri" w:cs="Poppins"/>
          <w:bCs/>
          <w:color w:val="000000"/>
          <w:szCs w:val="20"/>
        </w:rPr>
        <w:t xml:space="preserve"> at </w:t>
      </w:r>
      <w:r w:rsidR="00A22E46" w:rsidRPr="005B6186">
        <w:rPr>
          <w:rFonts w:eastAsia="Calibri" w:cs="Poppins"/>
          <w:bCs/>
          <w:color w:val="000000"/>
          <w:szCs w:val="20"/>
        </w:rPr>
        <w:t>10:00am</w:t>
      </w:r>
      <w:r w:rsidR="005B6186">
        <w:rPr>
          <w:rFonts w:eastAsia="Calibri" w:cs="Poppins"/>
          <w:bCs/>
          <w:color w:val="000000"/>
          <w:szCs w:val="20"/>
        </w:rPr>
        <w:t>.</w:t>
      </w:r>
    </w:p>
    <w:p w14:paraId="6CF2898B" w14:textId="00D48C91" w:rsidR="00A22E46" w:rsidRDefault="00A22E46" w:rsidP="00A22E46">
      <w:pPr>
        <w:spacing w:after="240"/>
        <w:rPr>
          <w:rFonts w:ascii="Poppins Medium" w:hAnsi="Poppins Medium" w:cs="Poppins Medium"/>
          <w:color w:val="0F4761" w:themeColor="accent1" w:themeShade="BF"/>
          <w:sz w:val="24"/>
          <w:szCs w:val="28"/>
        </w:rPr>
      </w:pPr>
      <w:r>
        <w:rPr>
          <w:rFonts w:ascii="Poppins Medium" w:hAnsi="Poppins Medium" w:cs="Poppins Medium"/>
          <w:color w:val="0F4761" w:themeColor="accent1" w:themeShade="BF"/>
          <w:sz w:val="24"/>
          <w:szCs w:val="28"/>
        </w:rPr>
        <w:t>Thurs</w:t>
      </w:r>
      <w:r w:rsidRPr="00A22E46">
        <w:rPr>
          <w:rFonts w:ascii="Poppins Medium" w:hAnsi="Poppins Medium" w:cs="Poppins Medium"/>
          <w:color w:val="0F4761" w:themeColor="accent1" w:themeShade="BF"/>
          <w:sz w:val="24"/>
          <w:szCs w:val="28"/>
        </w:rPr>
        <w:t>day</w:t>
      </w:r>
    </w:p>
    <w:p w14:paraId="54DE3DB7" w14:textId="320FAB41" w:rsidR="00A22E46" w:rsidRPr="00901DA4" w:rsidRDefault="00A22E46" w:rsidP="00A22E46">
      <w:pPr>
        <w:pStyle w:val="ListParagraph"/>
        <w:numPr>
          <w:ilvl w:val="0"/>
          <w:numId w:val="28"/>
        </w:numPr>
        <w:spacing w:after="240"/>
        <w:rPr>
          <w:rFonts w:cs="Poppins"/>
          <w:color w:val="0F4761" w:themeColor="accent1" w:themeShade="BF"/>
          <w:szCs w:val="20"/>
        </w:rPr>
      </w:pPr>
      <w:r w:rsidRPr="005B6186">
        <w:rPr>
          <w:rFonts w:eastAsiaTheme="minorEastAsia" w:cs="Poppins"/>
          <w:color w:val="000000" w:themeColor="text1"/>
          <w:szCs w:val="20"/>
        </w:rPr>
        <w:t>The</w:t>
      </w:r>
      <w:r w:rsidR="00901DA4">
        <w:rPr>
          <w:rFonts w:eastAsiaTheme="minorEastAsia" w:cs="Poppins"/>
          <w:color w:val="000000" w:themeColor="text1"/>
          <w:szCs w:val="20"/>
        </w:rPr>
        <w:t xml:space="preserve"> </w:t>
      </w:r>
      <w:r w:rsidR="00901DA4" w:rsidRPr="00901DA4">
        <w:rPr>
          <w:rFonts w:eastAsiaTheme="minorEastAsia" w:cs="Poppins"/>
          <w:color w:val="000000" w:themeColor="text1"/>
          <w:szCs w:val="20"/>
        </w:rPr>
        <w:t>Senate Appropriations Committee will hold a</w:t>
      </w:r>
      <w:r w:rsidR="005B6186" w:rsidRPr="005B6186">
        <w:rPr>
          <w:rFonts w:eastAsiaTheme="minorEastAsia" w:cs="Poppins"/>
          <w:color w:val="000000" w:themeColor="text1"/>
          <w:szCs w:val="20"/>
        </w:rPr>
        <w:t xml:space="preserve"> </w:t>
      </w:r>
      <w:hyperlink r:id="rId38" w:tgtFrame="_blank" w:tooltip="https://go.politicoemail.com/?qs=c8e6c1dd725965c4d3dff2a3fe3e8bdbcc3252328d92bbb622f4b25268af91d1d2076d3fa0291fa5c8802bbfba86f5ae071a78ccf98ffd4e" w:history="1">
        <w:r w:rsidR="00901DA4">
          <w:rPr>
            <w:rStyle w:val="Hyperlink"/>
            <w:rFonts w:eastAsia="Calibri" w:cs="Poppins"/>
            <w:bCs/>
            <w:szCs w:val="20"/>
          </w:rPr>
          <w:t>markup</w:t>
        </w:r>
      </w:hyperlink>
      <w:r w:rsidR="005B6186" w:rsidRPr="005B6186">
        <w:rPr>
          <w:rFonts w:eastAsia="Calibri" w:cs="Poppins"/>
          <w:bCs/>
          <w:color w:val="000000"/>
          <w:szCs w:val="20"/>
        </w:rPr>
        <w:t xml:space="preserve"> of the fiscal 2025 Energy-Water, Defense, Labor-HHS-Education, Homeland Security and Financial Services appropriations bills</w:t>
      </w:r>
      <w:r w:rsidR="005B6186" w:rsidRPr="005B6186">
        <w:rPr>
          <w:rFonts w:eastAsia="Calibri" w:cs="Poppins"/>
          <w:bCs/>
          <w:color w:val="000000"/>
          <w:szCs w:val="20"/>
        </w:rPr>
        <w:t xml:space="preserve"> at 9:30am</w:t>
      </w:r>
      <w:r w:rsidR="00901DA4">
        <w:rPr>
          <w:rFonts w:eastAsia="Calibri" w:cs="Poppins"/>
          <w:bCs/>
          <w:color w:val="000000"/>
          <w:szCs w:val="20"/>
        </w:rPr>
        <w:t>.</w:t>
      </w:r>
    </w:p>
    <w:p w14:paraId="09C713F1" w14:textId="363D11E2" w:rsidR="00CD4912" w:rsidRDefault="00226ACA">
      <w:r>
        <w:rPr>
          <w:noProof/>
        </w:rPr>
        <w:drawing>
          <wp:inline distT="0" distB="0" distL="0" distR="0" wp14:anchorId="3D61299C" wp14:editId="538626C7">
            <wp:extent cx="2275737" cy="565486"/>
            <wp:effectExtent l="0" t="0" r="0" b="6350"/>
            <wp:docPr id="100551752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517528" name="Picture 1" descr="A blue and white logo&#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75737" cy="565486"/>
                    </a:xfrm>
                    <a:prstGeom prst="rect">
                      <a:avLst/>
                    </a:prstGeom>
                  </pic:spPr>
                </pic:pic>
              </a:graphicData>
            </a:graphic>
          </wp:inline>
        </w:drawing>
      </w:r>
      <w:r>
        <w:tab/>
      </w:r>
      <w:r>
        <w:tab/>
      </w:r>
      <w:r>
        <w:tab/>
      </w:r>
      <w:r>
        <w:tab/>
      </w:r>
      <w:r>
        <w:tab/>
      </w:r>
      <w:r>
        <w:tab/>
      </w:r>
      <w:r>
        <w:rPr>
          <w:noProof/>
        </w:rPr>
        <w:drawing>
          <wp:inline distT="0" distB="0" distL="0" distR="0" wp14:anchorId="5C8A89B7" wp14:editId="34EADD88">
            <wp:extent cx="1364036" cy="562148"/>
            <wp:effectExtent l="0" t="0" r="7620" b="9525"/>
            <wp:docPr id="356480994" name="Picture 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80994" name="Picture 5" descr="A blue and black logo&#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64036" cy="562148"/>
                    </a:xfrm>
                    <a:prstGeom prst="rect">
                      <a:avLst/>
                    </a:prstGeom>
                  </pic:spPr>
                </pic:pic>
              </a:graphicData>
            </a:graphic>
          </wp:inline>
        </w:drawing>
      </w:r>
      <w:r>
        <w:tab/>
      </w:r>
      <w:r>
        <w:tab/>
      </w:r>
      <w:r>
        <w:tab/>
      </w:r>
      <w:r>
        <w:rPr>
          <w:noProof/>
        </w:rPr>
        <w:t xml:space="preserve">       </w:t>
      </w:r>
    </w:p>
    <w:sectPr w:rsidR="00CD4912" w:rsidSect="00226ACA">
      <w:headerReference w:type="default" r:id="rId41"/>
      <w:footerReference w:type="default" r:id="rId42"/>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D0090" w14:textId="77777777" w:rsidR="00807887" w:rsidRDefault="00807887">
      <w:pPr>
        <w:spacing w:after="0" w:line="240" w:lineRule="auto"/>
      </w:pPr>
      <w:r>
        <w:separator/>
      </w:r>
    </w:p>
  </w:endnote>
  <w:endnote w:type="continuationSeparator" w:id="0">
    <w:p w14:paraId="3148FE37" w14:textId="77777777" w:rsidR="00807887" w:rsidRDefault="0080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77777777" w:rsidR="00C65C71" w:rsidRDefault="00807887">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07887"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AF9C1" id="Rectangle 2" o:spid="_x0000_s1026"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fillcolor="#0e6eb6" stroked="f" strokeweight="1pt">
              <v:fill opacity="39321f"/>
              <v:textbox>
                <w:txbxContent>
                  <w:p w14:paraId="1D4D94D4" w14:textId="77777777" w:rsidR="00C65C71" w:rsidRPr="00107726" w:rsidRDefault="00807887"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95A5F" w14:textId="77777777" w:rsidR="00807887" w:rsidRDefault="00807887">
      <w:pPr>
        <w:spacing w:after="0" w:line="240" w:lineRule="auto"/>
      </w:pPr>
      <w:r>
        <w:separator/>
      </w:r>
    </w:p>
  </w:footnote>
  <w:footnote w:type="continuationSeparator" w:id="0">
    <w:p w14:paraId="5CD740DB" w14:textId="77777777" w:rsidR="00807887" w:rsidRDefault="008078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07887"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3743D"/>
    <w:multiLevelType w:val="hybridMultilevel"/>
    <w:tmpl w:val="1E7A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6C70F64"/>
    <w:multiLevelType w:val="hybridMultilevel"/>
    <w:tmpl w:val="0EDC5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84993187">
    <w:abstractNumId w:val="27"/>
  </w:num>
  <w:num w:numId="2" w16cid:durableId="127743416">
    <w:abstractNumId w:val="24"/>
  </w:num>
  <w:num w:numId="3" w16cid:durableId="1916818253">
    <w:abstractNumId w:val="25"/>
  </w:num>
  <w:num w:numId="4" w16cid:durableId="1562860064">
    <w:abstractNumId w:val="15"/>
  </w:num>
  <w:num w:numId="5" w16cid:durableId="747187781">
    <w:abstractNumId w:val="21"/>
  </w:num>
  <w:num w:numId="6" w16cid:durableId="360473614">
    <w:abstractNumId w:val="12"/>
  </w:num>
  <w:num w:numId="7" w16cid:durableId="2074813228">
    <w:abstractNumId w:val="22"/>
  </w:num>
  <w:num w:numId="8" w16cid:durableId="612904506">
    <w:abstractNumId w:val="6"/>
  </w:num>
  <w:num w:numId="9" w16cid:durableId="941183654">
    <w:abstractNumId w:val="23"/>
  </w:num>
  <w:num w:numId="10" w16cid:durableId="916745150">
    <w:abstractNumId w:val="13"/>
  </w:num>
  <w:num w:numId="11" w16cid:durableId="1211113321">
    <w:abstractNumId w:val="14"/>
  </w:num>
  <w:num w:numId="12" w16cid:durableId="444888970">
    <w:abstractNumId w:val="17"/>
  </w:num>
  <w:num w:numId="13" w16cid:durableId="1860123175">
    <w:abstractNumId w:val="8"/>
  </w:num>
  <w:num w:numId="14" w16cid:durableId="31660070">
    <w:abstractNumId w:val="11"/>
  </w:num>
  <w:num w:numId="15" w16cid:durableId="1157381680">
    <w:abstractNumId w:val="26"/>
  </w:num>
  <w:num w:numId="16" w16cid:durableId="2024474500">
    <w:abstractNumId w:val="3"/>
  </w:num>
  <w:num w:numId="17" w16cid:durableId="158468993">
    <w:abstractNumId w:val="16"/>
  </w:num>
  <w:num w:numId="18" w16cid:durableId="51200545">
    <w:abstractNumId w:val="0"/>
  </w:num>
  <w:num w:numId="19" w16cid:durableId="821049104">
    <w:abstractNumId w:val="4"/>
  </w:num>
  <w:num w:numId="20" w16cid:durableId="1487672424">
    <w:abstractNumId w:val="9"/>
  </w:num>
  <w:num w:numId="21" w16cid:durableId="1602059276">
    <w:abstractNumId w:val="5"/>
  </w:num>
  <w:num w:numId="22" w16cid:durableId="47806563">
    <w:abstractNumId w:val="7"/>
  </w:num>
  <w:num w:numId="23" w16cid:durableId="305356633">
    <w:abstractNumId w:val="20"/>
  </w:num>
  <w:num w:numId="24" w16cid:durableId="678628084">
    <w:abstractNumId w:val="18"/>
  </w:num>
  <w:num w:numId="25" w16cid:durableId="1807039519">
    <w:abstractNumId w:val="10"/>
  </w:num>
  <w:num w:numId="26" w16cid:durableId="106318828">
    <w:abstractNumId w:val="19"/>
  </w:num>
  <w:num w:numId="27" w16cid:durableId="705638243">
    <w:abstractNumId w:val="1"/>
  </w:num>
  <w:num w:numId="28" w16cid:durableId="296617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6379"/>
    <w:rsid w:val="0005263B"/>
    <w:rsid w:val="00063658"/>
    <w:rsid w:val="000709DF"/>
    <w:rsid w:val="000712FF"/>
    <w:rsid w:val="00081217"/>
    <w:rsid w:val="000B10D0"/>
    <w:rsid w:val="000C35CD"/>
    <w:rsid w:val="000C496F"/>
    <w:rsid w:val="000F1CB4"/>
    <w:rsid w:val="0011568D"/>
    <w:rsid w:val="0012379B"/>
    <w:rsid w:val="00126FE3"/>
    <w:rsid w:val="00133E00"/>
    <w:rsid w:val="0015610B"/>
    <w:rsid w:val="00170AD9"/>
    <w:rsid w:val="00171D37"/>
    <w:rsid w:val="00193422"/>
    <w:rsid w:val="001A4A3F"/>
    <w:rsid w:val="001B6F7F"/>
    <w:rsid w:val="001C7596"/>
    <w:rsid w:val="001D4903"/>
    <w:rsid w:val="00220477"/>
    <w:rsid w:val="00226ACA"/>
    <w:rsid w:val="00245951"/>
    <w:rsid w:val="00247BB2"/>
    <w:rsid w:val="00266E15"/>
    <w:rsid w:val="00273583"/>
    <w:rsid w:val="0027672E"/>
    <w:rsid w:val="00277C3B"/>
    <w:rsid w:val="002826A6"/>
    <w:rsid w:val="00286B6A"/>
    <w:rsid w:val="00286B7D"/>
    <w:rsid w:val="00295944"/>
    <w:rsid w:val="002E1270"/>
    <w:rsid w:val="002E15F2"/>
    <w:rsid w:val="002F004A"/>
    <w:rsid w:val="00310E21"/>
    <w:rsid w:val="00330820"/>
    <w:rsid w:val="00357A9C"/>
    <w:rsid w:val="00390A90"/>
    <w:rsid w:val="003C28F2"/>
    <w:rsid w:val="003D5D0C"/>
    <w:rsid w:val="00405BFA"/>
    <w:rsid w:val="00443633"/>
    <w:rsid w:val="00451283"/>
    <w:rsid w:val="0046695A"/>
    <w:rsid w:val="00470FEB"/>
    <w:rsid w:val="0047795D"/>
    <w:rsid w:val="00484416"/>
    <w:rsid w:val="004B29FC"/>
    <w:rsid w:val="004D15B9"/>
    <w:rsid w:val="004D16A4"/>
    <w:rsid w:val="004E7A5A"/>
    <w:rsid w:val="004F260C"/>
    <w:rsid w:val="004F700C"/>
    <w:rsid w:val="005000B1"/>
    <w:rsid w:val="00500ECF"/>
    <w:rsid w:val="00540E02"/>
    <w:rsid w:val="005418D5"/>
    <w:rsid w:val="00544157"/>
    <w:rsid w:val="0054478E"/>
    <w:rsid w:val="005554AE"/>
    <w:rsid w:val="005828B4"/>
    <w:rsid w:val="005A6EEF"/>
    <w:rsid w:val="005B257C"/>
    <w:rsid w:val="005B6186"/>
    <w:rsid w:val="005C43DF"/>
    <w:rsid w:val="00606A05"/>
    <w:rsid w:val="00612F79"/>
    <w:rsid w:val="00614EFF"/>
    <w:rsid w:val="006258FD"/>
    <w:rsid w:val="00630316"/>
    <w:rsid w:val="00642C99"/>
    <w:rsid w:val="00656DE9"/>
    <w:rsid w:val="00657D1D"/>
    <w:rsid w:val="006622DA"/>
    <w:rsid w:val="006710C0"/>
    <w:rsid w:val="006B6E77"/>
    <w:rsid w:val="0071082E"/>
    <w:rsid w:val="0071539A"/>
    <w:rsid w:val="0072131F"/>
    <w:rsid w:val="00733CC7"/>
    <w:rsid w:val="00736378"/>
    <w:rsid w:val="00742A7E"/>
    <w:rsid w:val="0075315A"/>
    <w:rsid w:val="00754D4E"/>
    <w:rsid w:val="007643CE"/>
    <w:rsid w:val="007824AB"/>
    <w:rsid w:val="00791F13"/>
    <w:rsid w:val="00797007"/>
    <w:rsid w:val="00797CFE"/>
    <w:rsid w:val="007C09BF"/>
    <w:rsid w:val="007C45B8"/>
    <w:rsid w:val="007E4E3A"/>
    <w:rsid w:val="007E63EA"/>
    <w:rsid w:val="007F1B20"/>
    <w:rsid w:val="007F5640"/>
    <w:rsid w:val="00807887"/>
    <w:rsid w:val="00814EEF"/>
    <w:rsid w:val="008235E1"/>
    <w:rsid w:val="008310F7"/>
    <w:rsid w:val="00842FB3"/>
    <w:rsid w:val="00854350"/>
    <w:rsid w:val="00855D79"/>
    <w:rsid w:val="00882C7E"/>
    <w:rsid w:val="008A1F3D"/>
    <w:rsid w:val="008A46E3"/>
    <w:rsid w:val="008A5D11"/>
    <w:rsid w:val="008C4D88"/>
    <w:rsid w:val="008C52D4"/>
    <w:rsid w:val="008E266C"/>
    <w:rsid w:val="008E7151"/>
    <w:rsid w:val="00901DA4"/>
    <w:rsid w:val="00940673"/>
    <w:rsid w:val="00952320"/>
    <w:rsid w:val="00973CEE"/>
    <w:rsid w:val="00987E05"/>
    <w:rsid w:val="009A0A17"/>
    <w:rsid w:val="009D03D3"/>
    <w:rsid w:val="009D4885"/>
    <w:rsid w:val="009E143A"/>
    <w:rsid w:val="009E754B"/>
    <w:rsid w:val="00A016C4"/>
    <w:rsid w:val="00A106A5"/>
    <w:rsid w:val="00A22E46"/>
    <w:rsid w:val="00A304EB"/>
    <w:rsid w:val="00A34162"/>
    <w:rsid w:val="00A45F8D"/>
    <w:rsid w:val="00A64331"/>
    <w:rsid w:val="00A66668"/>
    <w:rsid w:val="00A73302"/>
    <w:rsid w:val="00A87FFD"/>
    <w:rsid w:val="00A97B81"/>
    <w:rsid w:val="00AA24EE"/>
    <w:rsid w:val="00AC375B"/>
    <w:rsid w:val="00B17242"/>
    <w:rsid w:val="00B21FC8"/>
    <w:rsid w:val="00B257B0"/>
    <w:rsid w:val="00B33654"/>
    <w:rsid w:val="00B40025"/>
    <w:rsid w:val="00B657A3"/>
    <w:rsid w:val="00B6743B"/>
    <w:rsid w:val="00B712E4"/>
    <w:rsid w:val="00B85121"/>
    <w:rsid w:val="00B878DA"/>
    <w:rsid w:val="00BC4807"/>
    <w:rsid w:val="00BD277B"/>
    <w:rsid w:val="00BD3602"/>
    <w:rsid w:val="00BD3928"/>
    <w:rsid w:val="00BD400A"/>
    <w:rsid w:val="00BE2FE6"/>
    <w:rsid w:val="00BF35ED"/>
    <w:rsid w:val="00BF7ED6"/>
    <w:rsid w:val="00C01848"/>
    <w:rsid w:val="00C11C07"/>
    <w:rsid w:val="00C24621"/>
    <w:rsid w:val="00C543D9"/>
    <w:rsid w:val="00C6549F"/>
    <w:rsid w:val="00C65C71"/>
    <w:rsid w:val="00C7450F"/>
    <w:rsid w:val="00C9682A"/>
    <w:rsid w:val="00CA3842"/>
    <w:rsid w:val="00CB3B30"/>
    <w:rsid w:val="00CD2706"/>
    <w:rsid w:val="00CD4912"/>
    <w:rsid w:val="00CF61A3"/>
    <w:rsid w:val="00CF680F"/>
    <w:rsid w:val="00D11B23"/>
    <w:rsid w:val="00D31D3B"/>
    <w:rsid w:val="00D331DD"/>
    <w:rsid w:val="00D726C0"/>
    <w:rsid w:val="00D74192"/>
    <w:rsid w:val="00DA3481"/>
    <w:rsid w:val="00DA483A"/>
    <w:rsid w:val="00DF2750"/>
    <w:rsid w:val="00E001D8"/>
    <w:rsid w:val="00E007ED"/>
    <w:rsid w:val="00E17D68"/>
    <w:rsid w:val="00E33A26"/>
    <w:rsid w:val="00E609D1"/>
    <w:rsid w:val="00E756C7"/>
    <w:rsid w:val="00E76838"/>
    <w:rsid w:val="00E83686"/>
    <w:rsid w:val="00EB3B75"/>
    <w:rsid w:val="00EC0A64"/>
    <w:rsid w:val="00EC72B9"/>
    <w:rsid w:val="00ED2D9F"/>
    <w:rsid w:val="00EE26C8"/>
    <w:rsid w:val="00EF1D87"/>
    <w:rsid w:val="00F07532"/>
    <w:rsid w:val="00F15D36"/>
    <w:rsid w:val="00F27DF8"/>
    <w:rsid w:val="00F34182"/>
    <w:rsid w:val="00F47D6F"/>
    <w:rsid w:val="00F53332"/>
    <w:rsid w:val="00F53467"/>
    <w:rsid w:val="00F53A3C"/>
    <w:rsid w:val="00F54C3A"/>
    <w:rsid w:val="00F566BA"/>
    <w:rsid w:val="00F6455D"/>
    <w:rsid w:val="00F87569"/>
    <w:rsid w:val="00FA1E57"/>
    <w:rsid w:val="00FB05DD"/>
    <w:rsid w:val="00FC1952"/>
    <w:rsid w:val="00FD0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ealthsperien.us19.list-manage.com/track/click?u=b80803827ec1d826bd16eace6&amp;id=4a91e5f56e&amp;e=02f9a79650" TargetMode="External"/><Relationship Id="rId18" Type="http://schemas.openxmlformats.org/officeDocument/2006/relationships/hyperlink" Target="https://healthsperien.us19.list-manage.com/track/click?u=b80803827ec1d826bd16eace6&amp;id=0e933d8e25&amp;e=02f9a79650" TargetMode="External"/><Relationship Id="rId26" Type="http://schemas.openxmlformats.org/officeDocument/2006/relationships/hyperlink" Target="https://healthsperien.us19.list-manage.com/track/click?u=b80803827ec1d826bd16eace6&amp;id=eb47588603&amp;e=02f9a79650" TargetMode="External"/><Relationship Id="rId39" Type="http://schemas.openxmlformats.org/officeDocument/2006/relationships/image" Target="media/image2.jpeg"/><Relationship Id="rId21" Type="http://schemas.openxmlformats.org/officeDocument/2006/relationships/hyperlink" Target="https://healthsperien.us19.list-manage.com/track/click?u=b80803827ec1d826bd16eace6&amp;id=3de17caa0b&amp;e=02f9a79650" TargetMode="External"/><Relationship Id="rId34" Type="http://schemas.openxmlformats.org/officeDocument/2006/relationships/hyperlink" Target="https://www.help.senate.gov/imo/media/doc/f1c5a973-bce0-c0ba-1aba-3f448bc8114d/S.__Older%20Americans%20Act%20Reauthorization.pdf" TargetMode="External"/><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healthsperien.us19.list-manage.com/track/click?u=b80803827ec1d826bd16eace6&amp;id=d4b177d11e&amp;e=02f9a79650" TargetMode="External"/><Relationship Id="rId20" Type="http://schemas.openxmlformats.org/officeDocument/2006/relationships/hyperlink" Target="https://healthsperien.us19.list-manage.com/track/click?u=b80803827ec1d826bd16eace6&amp;id=9e975f4122&amp;e=02f9a79650" TargetMode="External"/><Relationship Id="rId29" Type="http://schemas.openxmlformats.org/officeDocument/2006/relationships/hyperlink" Target="https://healthsperien.us19.list-manage.com/track/click?u=b80803827ec1d826bd16eace6&amp;id=76407cb370&amp;e=02f9a79650"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sperien.us19.list-manage.com/track/click?u=b80803827ec1d826bd16eace6&amp;id=04e922325f&amp;e=02f9a79650" TargetMode="External"/><Relationship Id="rId24" Type="http://schemas.openxmlformats.org/officeDocument/2006/relationships/hyperlink" Target="https://healthsperien.us19.list-manage.com/track/click?u=b80803827ec1d826bd16eace6&amp;id=d1c93f219f&amp;e=02f9a79650" TargetMode="External"/><Relationship Id="rId32" Type="http://schemas.openxmlformats.org/officeDocument/2006/relationships/hyperlink" Target="https://healthsperien.us19.list-manage.com/track/click?u=b80803827ec1d826bd16eace6&amp;id=45908526bb&amp;e=02f9a79650" TargetMode="External"/><Relationship Id="rId37" Type="http://schemas.openxmlformats.org/officeDocument/2006/relationships/hyperlink" Target="https://go.politicoemail.com/?qs=c8e6c1dd725965c435467c9fd8eb9d682b7d9b698ced4f4c54f0a26e69ced7f8f26432d851e7bcc6aab4c3cb53e4fe4f7df308ad7f402173" TargetMode="External"/><Relationship Id="rId40"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healthsperien.us19.list-manage.com/track/click?u=b80803827ec1d826bd16eace6&amp;id=ba348ca6f5&amp;e=02f9a79650" TargetMode="External"/><Relationship Id="rId23" Type="http://schemas.openxmlformats.org/officeDocument/2006/relationships/hyperlink" Target="https://healthsperien.us19.list-manage.com/track/click?u=b80803827ec1d826bd16eace6&amp;id=b272869839&amp;e=02f9a79650" TargetMode="External"/><Relationship Id="rId28" Type="http://schemas.openxmlformats.org/officeDocument/2006/relationships/hyperlink" Target="https://healthsperien.us19.list-manage.com/track/click?u=b80803827ec1d826bd16eace6&amp;id=e872a92065&amp;e=02f9a79650" TargetMode="External"/><Relationship Id="rId36" Type="http://schemas.openxmlformats.org/officeDocument/2006/relationships/hyperlink" Target="https://www.help.senate.gov/imo/media/doc/f1c5a973-bce0-c0ba-1aba-3f448bc8114d/S.%204755%20TBI%20Program%20Reauthorization.pdf" TargetMode="External"/><Relationship Id="rId10" Type="http://schemas.openxmlformats.org/officeDocument/2006/relationships/hyperlink" Target="https://healthsperien.us19.list-manage.com/track/click?u=b80803827ec1d826bd16eace6&amp;id=53c0d8a4f4&amp;e=02f9a79650" TargetMode="External"/><Relationship Id="rId19" Type="http://schemas.openxmlformats.org/officeDocument/2006/relationships/hyperlink" Target="https://healthsperien.us19.list-manage.com/track/click?u=b80803827ec1d826bd16eace6&amp;id=0e6d5cbe47&amp;e=02f9a79650" TargetMode="External"/><Relationship Id="rId31" Type="http://schemas.openxmlformats.org/officeDocument/2006/relationships/hyperlink" Target="https://healthsperien.us19.list-manage.com/track/click?u=b80803827ec1d826bd16eace6&amp;id=bae7afe8b1&amp;e=02f9a7965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althsperien.us19.list-manage.com/track/click?u=b80803827ec1d826bd16eace6&amp;id=d0ddd69bb9&amp;e=02f9a79650" TargetMode="External"/><Relationship Id="rId14" Type="http://schemas.openxmlformats.org/officeDocument/2006/relationships/hyperlink" Target="https://healthsperien.us19.list-manage.com/track/click?u=b80803827ec1d826bd16eace6&amp;id=adf067d365&amp;e=02f9a79650" TargetMode="External"/><Relationship Id="rId22" Type="http://schemas.openxmlformats.org/officeDocument/2006/relationships/hyperlink" Target="https://healthsperien.us19.list-manage.com/track/click?u=b80803827ec1d826bd16eace6&amp;id=4f65b748d0&amp;e=02f9a79650" TargetMode="External"/><Relationship Id="rId27" Type="http://schemas.openxmlformats.org/officeDocument/2006/relationships/hyperlink" Target="https://healthsperien.us19.list-manage.com/track/click?u=b80803827ec1d826bd16eace6&amp;id=0f7a3dc1a0&amp;e=02f9a79650" TargetMode="External"/><Relationship Id="rId30" Type="http://schemas.openxmlformats.org/officeDocument/2006/relationships/hyperlink" Target="https://healthsperien.us19.list-manage.com/track/click?u=b80803827ec1d826bd16eace6&amp;id=734d4df72d&amp;e=02f9a79650" TargetMode="External"/><Relationship Id="rId35" Type="http://schemas.openxmlformats.org/officeDocument/2006/relationships/hyperlink" Target="https://www.help.senate.gov/imo/media/doc/f1c5a973-bce0-c0ba-1aba-3f448bc8114d/S.__Autism%20CARES.pdf" TargetMode="External"/><Relationship Id="rId43" Type="http://schemas.openxmlformats.org/officeDocument/2006/relationships/fontTable" Target="fontTable.xml"/><Relationship Id="rId8" Type="http://schemas.openxmlformats.org/officeDocument/2006/relationships/hyperlink" Target="https://www.hhs.gov/about/news/2024/07/26/statements-from-hhs-secretary-xavier-becerra-hhs-principals-the-34th-anniversary-americans-with-disabilities-act.html" TargetMode="External"/><Relationship Id="rId3" Type="http://schemas.openxmlformats.org/officeDocument/2006/relationships/settings" Target="settings.xml"/><Relationship Id="rId12" Type="http://schemas.openxmlformats.org/officeDocument/2006/relationships/hyperlink" Target="https://healthsperien.us19.list-manage.com/track/click?u=b80803827ec1d826bd16eace6&amp;id=6bc97df3be&amp;e=02f9a79650" TargetMode="External"/><Relationship Id="rId17" Type="http://schemas.openxmlformats.org/officeDocument/2006/relationships/hyperlink" Target="https://healthsperien.us19.list-manage.com/track/click?u=b80803827ec1d826bd16eace6&amp;id=651d6a8fbd&amp;e=02f9a79650" TargetMode="External"/><Relationship Id="rId25" Type="http://schemas.openxmlformats.org/officeDocument/2006/relationships/hyperlink" Target="https://healthsperien.us19.list-manage.com/track/click?u=b80803827ec1d826bd16eace6&amp;id=d186bbc754&amp;e=02f9a79650" TargetMode="External"/><Relationship Id="rId33" Type="http://schemas.openxmlformats.org/officeDocument/2006/relationships/hyperlink" Target="https://healthsperien.us19.list-manage.com/track/click?u=b80803827ec1d826bd16eace6&amp;id=0a2230a0e5&amp;e=02f9a79650" TargetMode="External"/><Relationship Id="rId38" Type="http://schemas.openxmlformats.org/officeDocument/2006/relationships/hyperlink" Target="https://www.appropriations.senate.gov/hearings/full-committee-markup-of-energy-and-water-development-defense-labor-health-and-human-services-and-financial-services-and-general-government-appropriations-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Alli Hamburger</cp:lastModifiedBy>
  <cp:revision>71</cp:revision>
  <dcterms:created xsi:type="dcterms:W3CDTF">2024-07-29T16:40:00Z</dcterms:created>
  <dcterms:modified xsi:type="dcterms:W3CDTF">2024-07-29T18:19:00Z</dcterms:modified>
</cp:coreProperties>
</file>