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12EB35CB"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52320">
        <w:rPr>
          <w:rFonts w:ascii="Poppins SemiBold" w:hAnsi="Poppins SemiBold" w:cs="Poppins SemiBold"/>
          <w:noProof/>
          <w:sz w:val="32"/>
          <w:szCs w:val="32"/>
        </w:rPr>
        <w:t>July</w:t>
      </w:r>
      <w:r w:rsidRPr="00736378">
        <w:rPr>
          <w:rFonts w:ascii="Poppins SemiBold" w:hAnsi="Poppins SemiBold" w:cs="Poppins SemiBold"/>
          <w:noProof/>
          <w:sz w:val="32"/>
          <w:szCs w:val="32"/>
        </w:rPr>
        <w:t xml:space="preserve"> </w:t>
      </w:r>
      <w:r w:rsidR="00D11B23">
        <w:rPr>
          <w:rFonts w:ascii="Poppins SemiBold" w:hAnsi="Poppins SemiBold" w:cs="Poppins SemiBold"/>
          <w:noProof/>
          <w:sz w:val="32"/>
          <w:szCs w:val="32"/>
        </w:rPr>
        <w:t>2</w:t>
      </w:r>
      <w:r w:rsidR="00614EFF">
        <w:rPr>
          <w:rFonts w:ascii="Poppins SemiBold" w:hAnsi="Poppins SemiBold" w:cs="Poppins SemiBold"/>
          <w:noProof/>
          <w:sz w:val="32"/>
          <w:szCs w:val="32"/>
        </w:rPr>
        <w:t>3</w:t>
      </w:r>
      <w:r w:rsidRPr="00736378">
        <w:rPr>
          <w:rFonts w:ascii="Poppins SemiBold" w:hAnsi="Poppins SemiBold" w:cs="Poppins SemiBold"/>
          <w:noProof/>
          <w:sz w:val="32"/>
          <w:szCs w:val="32"/>
        </w:rPr>
        <w:t>, 2024</w:t>
      </w:r>
    </w:p>
    <w:p w14:paraId="7A306983" w14:textId="0649C074" w:rsidR="007E63EA" w:rsidRDefault="007E63EA" w:rsidP="00656DE9">
      <w:pPr>
        <w:pStyle w:val="ListParagraph"/>
        <w:numPr>
          <w:ilvl w:val="0"/>
          <w:numId w:val="1"/>
        </w:numPr>
        <w:spacing w:before="240" w:after="0"/>
        <w:rPr>
          <w:rFonts w:ascii="Poppins Medium" w:hAnsi="Poppins Medium" w:cs="Poppins Medium"/>
          <w:color w:val="0F4761" w:themeColor="accent1" w:themeShade="BF"/>
          <w:sz w:val="24"/>
          <w:szCs w:val="24"/>
        </w:rPr>
      </w:pPr>
      <w:r w:rsidRPr="007E63EA">
        <w:rPr>
          <w:rFonts w:ascii="Poppins Medium" w:hAnsi="Poppins Medium" w:cs="Poppins Medium"/>
          <w:color w:val="0F4761" w:themeColor="accent1" w:themeShade="BF"/>
          <w:sz w:val="24"/>
          <w:szCs w:val="24"/>
        </w:rPr>
        <w:t>IRS and Treasury Department Releases Final Regulations on Required Minimum Distributions (RMDs)</w:t>
      </w:r>
    </w:p>
    <w:p w14:paraId="0C203F5F" w14:textId="13E9D869" w:rsidR="007E63EA" w:rsidRDefault="007E63EA" w:rsidP="007E63EA">
      <w:pPr>
        <w:pStyle w:val="ListParagraph"/>
        <w:spacing w:before="240" w:after="0"/>
        <w:ind w:left="360"/>
        <w:rPr>
          <w:rFonts w:cs="Poppins"/>
          <w:szCs w:val="20"/>
        </w:rPr>
      </w:pPr>
      <w:r>
        <w:rPr>
          <w:rFonts w:cs="Poppins"/>
          <w:szCs w:val="20"/>
        </w:rPr>
        <w:t>On July 19</w:t>
      </w:r>
      <w:r w:rsidRPr="007E63EA">
        <w:rPr>
          <w:rFonts w:cs="Poppins"/>
          <w:szCs w:val="20"/>
          <w:vertAlign w:val="superscript"/>
        </w:rPr>
        <w:t>th</w:t>
      </w:r>
      <w:r>
        <w:rPr>
          <w:rFonts w:cs="Poppins"/>
          <w:szCs w:val="20"/>
        </w:rPr>
        <w:t xml:space="preserve">, the Internal Revenue Service and Department of the Treasury </w:t>
      </w:r>
      <w:hyperlink r:id="rId8" w:history="1">
        <w:r w:rsidRPr="00CF680F">
          <w:rPr>
            <w:rStyle w:val="Hyperlink"/>
            <w:rFonts w:cs="Poppins"/>
            <w:szCs w:val="20"/>
          </w:rPr>
          <w:t>released</w:t>
        </w:r>
      </w:hyperlink>
      <w:r>
        <w:rPr>
          <w:rFonts w:cs="Poppins"/>
          <w:szCs w:val="20"/>
        </w:rPr>
        <w:t xml:space="preserve"> the final regulations on required minimum distributions (RMDs) from qualified plans; section 403(b) annuity contracts. Custodial accounts, and retirement income accounts; </w:t>
      </w:r>
      <w:r w:rsidR="009E143A">
        <w:rPr>
          <w:rFonts w:cs="Poppins"/>
          <w:szCs w:val="20"/>
        </w:rPr>
        <w:t>individual</w:t>
      </w:r>
      <w:r>
        <w:rPr>
          <w:rFonts w:cs="Poppins"/>
          <w:szCs w:val="20"/>
        </w:rPr>
        <w:t xml:space="preserve"> </w:t>
      </w:r>
      <w:r w:rsidR="009E143A">
        <w:rPr>
          <w:rFonts w:cs="Poppins"/>
          <w:szCs w:val="20"/>
        </w:rPr>
        <w:t>retirement</w:t>
      </w:r>
      <w:r>
        <w:rPr>
          <w:rFonts w:cs="Poppins"/>
          <w:szCs w:val="20"/>
        </w:rPr>
        <w:t xml:space="preserve"> accounts and annuities; and certain eligible deferred compensation plans. </w:t>
      </w:r>
      <w:r w:rsidR="009E143A">
        <w:rPr>
          <w:rFonts w:cs="Poppins"/>
          <w:szCs w:val="20"/>
        </w:rPr>
        <w:t>The final regulations clarify changes brought about by the SECURE Act, which took effect in 2020, and the SECURE 2.0 Act, which was signed into law at the end of 2022. The new rules start taking effect on January 1, 2025. One of the issues clarified by the final regulations is the that a beneficiary of an individual who had already started taking RMDs need</w:t>
      </w:r>
      <w:r w:rsidR="00CF680F">
        <w:rPr>
          <w:rFonts w:cs="Poppins"/>
          <w:szCs w:val="20"/>
        </w:rPr>
        <w:t>s t</w:t>
      </w:r>
      <w:r w:rsidR="009E143A">
        <w:rPr>
          <w:rFonts w:cs="Poppins"/>
          <w:szCs w:val="20"/>
        </w:rPr>
        <w:t xml:space="preserve">o continue RMDs yearly; </w:t>
      </w:r>
      <w:r w:rsidR="00CF680F">
        <w:rPr>
          <w:rFonts w:cs="Poppins"/>
          <w:szCs w:val="20"/>
        </w:rPr>
        <w:t xml:space="preserve">exceptions are “eligible designated beneficiaries,” defined as a surviving spouse, minor child, disabled or chronically ill individual, or any other individual who is not more than 10 years younger than the IRA owner. </w:t>
      </w:r>
    </w:p>
    <w:p w14:paraId="7BF2BCFF" w14:textId="77777777" w:rsidR="00CF680F" w:rsidRDefault="00CF680F" w:rsidP="007E63EA">
      <w:pPr>
        <w:pStyle w:val="ListParagraph"/>
        <w:spacing w:before="240" w:after="0"/>
        <w:ind w:left="360"/>
        <w:rPr>
          <w:rFonts w:cs="Poppins"/>
          <w:szCs w:val="20"/>
        </w:rPr>
      </w:pPr>
    </w:p>
    <w:p w14:paraId="0EF95EC2" w14:textId="13751A99" w:rsidR="00CF680F" w:rsidRDefault="00CF680F" w:rsidP="00CF680F">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 xml:space="preserve">Social Security Matters Publishes </w:t>
      </w:r>
      <w:r>
        <w:rPr>
          <w:rFonts w:ascii="Poppins Medium" w:hAnsi="Poppins Medium" w:cs="Poppins Medium"/>
          <w:color w:val="0F4761" w:themeColor="accent1" w:themeShade="BF"/>
          <w:sz w:val="24"/>
          <w:szCs w:val="24"/>
        </w:rPr>
        <w:t>Blog on Government Programs for Children with Special Needs</w:t>
      </w:r>
    </w:p>
    <w:p w14:paraId="65DB4C26" w14:textId="0937B8F5" w:rsidR="00CF680F" w:rsidRDefault="00CF680F" w:rsidP="00CF680F">
      <w:pPr>
        <w:pStyle w:val="ListParagraph"/>
        <w:spacing w:before="240" w:after="0"/>
        <w:ind w:left="360"/>
        <w:rPr>
          <w:rFonts w:cs="Poppins"/>
          <w:szCs w:val="20"/>
        </w:rPr>
      </w:pPr>
      <w:r>
        <w:rPr>
          <w:rFonts w:cs="Poppins"/>
          <w:szCs w:val="20"/>
        </w:rPr>
        <w:t xml:space="preserve">On July </w:t>
      </w:r>
      <w:r>
        <w:rPr>
          <w:rFonts w:cs="Poppins"/>
          <w:szCs w:val="20"/>
        </w:rPr>
        <w:t>22</w:t>
      </w:r>
      <w:r w:rsidRPr="00CF680F">
        <w:rPr>
          <w:rFonts w:cs="Poppins"/>
          <w:szCs w:val="20"/>
          <w:vertAlign w:val="superscript"/>
        </w:rPr>
        <w:t>nd</w:t>
      </w:r>
      <w:r>
        <w:rPr>
          <w:rFonts w:cs="Poppins"/>
          <w:szCs w:val="20"/>
        </w:rPr>
        <w:t xml:space="preserve">, </w:t>
      </w:r>
      <w:r>
        <w:rPr>
          <w:rFonts w:cs="Poppins"/>
          <w:szCs w:val="20"/>
        </w:rPr>
        <w:t xml:space="preserve">Social Security Matters </w:t>
      </w:r>
      <w:hyperlink r:id="rId9" w:history="1">
        <w:r w:rsidRPr="00CF680F">
          <w:rPr>
            <w:rStyle w:val="Hyperlink"/>
            <w:rFonts w:cs="Poppins"/>
            <w:szCs w:val="20"/>
          </w:rPr>
          <w:t>published</w:t>
        </w:r>
      </w:hyperlink>
      <w:r>
        <w:rPr>
          <w:rFonts w:cs="Poppins"/>
          <w:szCs w:val="20"/>
        </w:rPr>
        <w:t xml:space="preserve"> a blog by Johanna Pickel, LLM, JD on various government programs for children with special needs, including Supplemental Security Income (SSI), Plan to Achieve Self-Support (PASS), Medicaid, Children’s Health Insurance Program (CHIP), Temporary Assistance for Needly Families (TANF), and Supplemental Nutrition Assistance Program (SNAP). The author also highlighted grants and additional organizations that offer support, assistance, and financial resources for children with special needs. </w:t>
      </w:r>
    </w:p>
    <w:p w14:paraId="72A3FDF9" w14:textId="77777777" w:rsidR="007E63EA" w:rsidRPr="007E63EA" w:rsidRDefault="007E63EA" w:rsidP="007E63EA">
      <w:pPr>
        <w:pStyle w:val="ListParagraph"/>
        <w:spacing w:before="240" w:after="0"/>
        <w:ind w:left="360"/>
        <w:rPr>
          <w:rFonts w:ascii="Poppins Medium" w:hAnsi="Poppins Medium" w:cs="Poppins Medium"/>
          <w:color w:val="0F4761" w:themeColor="accent1" w:themeShade="BF"/>
          <w:sz w:val="24"/>
          <w:szCs w:val="24"/>
        </w:rPr>
      </w:pPr>
    </w:p>
    <w:p w14:paraId="465D0D61" w14:textId="5D35F622" w:rsidR="00656DE9" w:rsidRPr="00E007ED" w:rsidRDefault="00443633" w:rsidP="00656DE9">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OMB Considers Measure to Include DSP Codes in Standard Occupational Classification Manual</w:t>
      </w:r>
    </w:p>
    <w:p w14:paraId="72ABDD7E" w14:textId="27C65D56" w:rsidR="00656DE9" w:rsidRDefault="00B257B0" w:rsidP="00656DE9">
      <w:pPr>
        <w:spacing w:after="0" w:line="240" w:lineRule="auto"/>
        <w:ind w:left="360"/>
        <w:rPr>
          <w:rFonts w:cs="Poppins"/>
          <w:szCs w:val="20"/>
        </w:rPr>
      </w:pPr>
      <w:r>
        <w:rPr>
          <w:rFonts w:cs="Poppins"/>
          <w:szCs w:val="20"/>
        </w:rPr>
        <w:lastRenderedPageBreak/>
        <w:t xml:space="preserve">The White House Office of Management and Budget (OMB) is currently </w:t>
      </w:r>
      <w:hyperlink r:id="rId10" w:history="1">
        <w:r w:rsidRPr="00443633">
          <w:rPr>
            <w:rStyle w:val="Hyperlink"/>
            <w:rFonts w:cs="Poppins"/>
            <w:szCs w:val="20"/>
          </w:rPr>
          <w:t>seeking</w:t>
        </w:r>
      </w:hyperlink>
      <w:r>
        <w:rPr>
          <w:rFonts w:cs="Poppins"/>
          <w:szCs w:val="20"/>
        </w:rPr>
        <w:t xml:space="preserve"> comments on potential changes to the Standard Occupational Classification Manual, specifically including an option to add “care workers” to the manual and how to define and name the occupation. </w:t>
      </w:r>
      <w:r w:rsidR="00443633">
        <w:rPr>
          <w:rFonts w:cs="Poppins"/>
          <w:szCs w:val="20"/>
        </w:rPr>
        <w:t xml:space="preserve">The Manual outlines how federal agencies classify occupations for data collection. The proposed changes would create a code for Direct Support Professionals (DSPs), professionals tasked with supporting people with disabilities. Disability advocacy groups have written a </w:t>
      </w:r>
      <w:hyperlink r:id="rId11" w:history="1">
        <w:r w:rsidR="00443633" w:rsidRPr="00443633">
          <w:rPr>
            <w:rStyle w:val="Hyperlink"/>
            <w:rFonts w:cs="Poppins"/>
            <w:szCs w:val="20"/>
          </w:rPr>
          <w:t>letter</w:t>
        </w:r>
      </w:hyperlink>
      <w:r w:rsidR="00443633">
        <w:rPr>
          <w:rFonts w:cs="Poppins"/>
          <w:szCs w:val="20"/>
        </w:rPr>
        <w:t xml:space="preserve"> to lawmakers that affirms their support for the measure and emphasizes the importance of a code for DSPs in both understanding the current makeup of the workforce and developing solutions for current and future problems.</w:t>
      </w:r>
    </w:p>
    <w:p w14:paraId="51FF4C2E" w14:textId="77777777" w:rsidR="003D5D0C" w:rsidRPr="00E007ED" w:rsidRDefault="003D5D0C" w:rsidP="003D5D0C">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 xml:space="preserve">CDC Database Shows Over 70 </w:t>
      </w:r>
      <w:proofErr w:type="gramStart"/>
      <w:r>
        <w:rPr>
          <w:rFonts w:ascii="Poppins Medium" w:hAnsi="Poppins Medium" w:cs="Poppins Medium"/>
          <w:color w:val="0F4761" w:themeColor="accent1" w:themeShade="BF"/>
          <w:sz w:val="24"/>
          <w:szCs w:val="24"/>
        </w:rPr>
        <w:t>Million</w:t>
      </w:r>
      <w:proofErr w:type="gramEnd"/>
      <w:r>
        <w:rPr>
          <w:rFonts w:ascii="Poppins Medium" w:hAnsi="Poppins Medium" w:cs="Poppins Medium"/>
          <w:color w:val="0F4761" w:themeColor="accent1" w:themeShade="BF"/>
          <w:sz w:val="24"/>
          <w:szCs w:val="24"/>
        </w:rPr>
        <w:t xml:space="preserve"> U.S. Adults Report a Disability</w:t>
      </w:r>
    </w:p>
    <w:p w14:paraId="7DF8EF3F" w14:textId="5DB684E7" w:rsidR="003D5D0C" w:rsidRPr="003D5D0C" w:rsidRDefault="003D5D0C" w:rsidP="003D5D0C">
      <w:pPr>
        <w:spacing w:after="0" w:line="240" w:lineRule="auto"/>
        <w:ind w:left="360"/>
        <w:rPr>
          <w:rFonts w:cs="Poppins"/>
          <w:i/>
          <w:iCs/>
          <w:szCs w:val="20"/>
        </w:rPr>
      </w:pPr>
      <w:r w:rsidRPr="00856B4D">
        <w:rPr>
          <w:rFonts w:cs="Poppins"/>
          <w:szCs w:val="20"/>
        </w:rPr>
        <w:t xml:space="preserve">The Centers for Disease Control and Prevention (CDC) released the annual </w:t>
      </w:r>
      <w:hyperlink r:id="rId12" w:tgtFrame="_blank" w:history="1">
        <w:r w:rsidRPr="00856B4D">
          <w:rPr>
            <w:rStyle w:val="Hyperlink"/>
            <w:rFonts w:cs="Poppins"/>
            <w:szCs w:val="20"/>
          </w:rPr>
          <w:t>update</w:t>
        </w:r>
      </w:hyperlink>
      <w:r w:rsidRPr="00856B4D">
        <w:rPr>
          <w:rFonts w:cs="Poppins"/>
          <w:szCs w:val="20"/>
        </w:rPr>
        <w:t xml:space="preserve"> on the Disability and Health Data System and </w:t>
      </w:r>
      <w:hyperlink r:id="rId13" w:tgtFrame="_blank" w:history="1">
        <w:r w:rsidRPr="00856B4D">
          <w:rPr>
            <w:rStyle w:val="Hyperlink"/>
            <w:rFonts w:cs="Poppins"/>
            <w:szCs w:val="20"/>
          </w:rPr>
          <w:t>state profile fact sheets</w:t>
        </w:r>
      </w:hyperlink>
      <w:r w:rsidRPr="00856B4D">
        <w:rPr>
          <w:rFonts w:cs="Poppins"/>
          <w:szCs w:val="20"/>
        </w:rPr>
        <w:t>. The most recent data from the 2022 Behavioral Risk Factor Surveillance System (BRFSS) document about 25% or over 70 million American adults reported having a disability. For the first time, the BRFSS asked participants about long-COVID symptoms and found individuals with disabilities were more likely to have long-COVID symptoms (10.8%) compared to their peers without disabilities (6.6%). Additionally, older adults are more likely to report disability (43.9%) compared to younger generations. American Indian or Alaskan Native and Other/</w:t>
      </w:r>
      <w:proofErr w:type="spellStart"/>
      <w:r w:rsidRPr="00856B4D">
        <w:rPr>
          <w:rFonts w:cs="Poppins"/>
          <w:szCs w:val="20"/>
        </w:rPr>
        <w:t>Multirace</w:t>
      </w:r>
      <w:proofErr w:type="spellEnd"/>
      <w:r w:rsidRPr="00856B4D">
        <w:rPr>
          <w:rFonts w:cs="Poppins"/>
          <w:szCs w:val="20"/>
        </w:rPr>
        <w:t xml:space="preserve"> racial groups had the highest prevalences of disability at 38.7% each. The CDC is continuing to invest in the inclusion of enhanced disability representation in public health data to prepare for their needs during emergencies. </w:t>
      </w:r>
    </w:p>
    <w:p w14:paraId="6BC2F917" w14:textId="77777777" w:rsidR="003D5D0C" w:rsidRPr="00E007ED" w:rsidRDefault="003D5D0C" w:rsidP="003D5D0C">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HRSA Announces $2.5 Million Investment in LPGP to form Multi-State Social Worker Licensure Compact</w:t>
      </w:r>
    </w:p>
    <w:p w14:paraId="4B71E74B" w14:textId="3ABD857E" w:rsidR="003D5D0C" w:rsidRPr="003D5D0C" w:rsidRDefault="003D5D0C" w:rsidP="003D5D0C">
      <w:pPr>
        <w:spacing w:after="0" w:line="240" w:lineRule="auto"/>
        <w:ind w:left="360"/>
        <w:rPr>
          <w:rFonts w:cs="Poppins"/>
          <w:color w:val="000000"/>
          <w:shd w:val="clear" w:color="auto" w:fill="FFFFFF"/>
        </w:rPr>
      </w:pPr>
      <w:r w:rsidRPr="005A6EEF">
        <w:rPr>
          <w:rStyle w:val="normaltextrun"/>
          <w:rFonts w:cs="Poppins"/>
          <w:color w:val="000000"/>
          <w:szCs w:val="20"/>
          <w:shd w:val="clear" w:color="auto" w:fill="FFFFFF"/>
        </w:rPr>
        <w:t xml:space="preserve">The Department of Health and Human Services (HHS) through the </w:t>
      </w:r>
      <w:r w:rsidRPr="00856B4D">
        <w:rPr>
          <w:rFonts w:cs="Poppins"/>
          <w:color w:val="000000"/>
          <w:shd w:val="clear" w:color="auto" w:fill="FFFFFF"/>
        </w:rPr>
        <w:t xml:space="preserve">Health Resources and Services Administration (HRSA) </w:t>
      </w:r>
      <w:hyperlink r:id="rId14" w:tgtFrame="_blank" w:history="1">
        <w:r w:rsidRPr="00856B4D">
          <w:rPr>
            <w:rStyle w:val="Hyperlink"/>
            <w:rFonts w:cs="Poppins"/>
            <w:shd w:val="clear" w:color="auto" w:fill="FFFFFF"/>
          </w:rPr>
          <w:t>announced</w:t>
        </w:r>
      </w:hyperlink>
      <w:r w:rsidRPr="00856B4D">
        <w:rPr>
          <w:rFonts w:cs="Poppins"/>
          <w:color w:val="000000"/>
          <w:shd w:val="clear" w:color="auto" w:fill="FFFFFF"/>
        </w:rPr>
        <w:t xml:space="preserve"> a first ever </w:t>
      </w:r>
      <w:hyperlink r:id="rId15" w:tgtFrame="_blank" w:history="1">
        <w:r w:rsidRPr="00856B4D">
          <w:rPr>
            <w:rStyle w:val="Hyperlink"/>
            <w:rFonts w:cs="Poppins"/>
            <w:shd w:val="clear" w:color="auto" w:fill="FFFFFF"/>
          </w:rPr>
          <w:t>Licensure Portability Grant Program</w:t>
        </w:r>
      </w:hyperlink>
      <w:r w:rsidRPr="00856B4D">
        <w:rPr>
          <w:rFonts w:cs="Poppins"/>
          <w:color w:val="000000"/>
          <w:shd w:val="clear" w:color="auto" w:fill="FFFFFF"/>
        </w:rPr>
        <w:t>. The $2.5 million funds will support the Association of Social Work Boards, Association of State and Provincial Psychology Boards, Federation of State Medical Boards of the United States, and Federation of Podiatric Medical boards to work with state licensing boards to develop and implement policies allowing social workers to easily practice across state lines in a social worker licensure compact. HRSA is specifically focused on using the compact to address behavioral health workforce shortages. The proposed social worker licensure compact would build on the history of compacts including the Interstate Medical Licensing Compact and Psychology Interjurisdictional Compact (PSYPACT). </w:t>
      </w:r>
    </w:p>
    <w:p w14:paraId="7557CEA7" w14:textId="07235CCD" w:rsidR="00F34182" w:rsidRPr="00E007ED" w:rsidRDefault="00F53332" w:rsidP="00F34182">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FDA Announces New Rare Disease Innovation Hub</w:t>
      </w:r>
    </w:p>
    <w:p w14:paraId="08A42235" w14:textId="014ACAAA" w:rsidR="00193422" w:rsidRPr="00F34182" w:rsidRDefault="00193422" w:rsidP="00193422">
      <w:pPr>
        <w:spacing w:after="0" w:line="240" w:lineRule="auto"/>
        <w:ind w:left="360"/>
        <w:rPr>
          <w:rFonts w:cs="Poppins"/>
          <w:szCs w:val="20"/>
        </w:rPr>
      </w:pPr>
      <w:r w:rsidRPr="00856B4D">
        <w:rPr>
          <w:rFonts w:cs="Poppins"/>
          <w:szCs w:val="20"/>
        </w:rPr>
        <w:t xml:space="preserve">The U.S. Food and Drug Administration (FDA) </w:t>
      </w:r>
      <w:hyperlink r:id="rId16" w:tgtFrame="_blank" w:history="1">
        <w:r w:rsidRPr="00856B4D">
          <w:rPr>
            <w:rStyle w:val="Hyperlink"/>
            <w:rFonts w:cs="Poppins"/>
            <w:szCs w:val="20"/>
          </w:rPr>
          <w:t>announced</w:t>
        </w:r>
      </w:hyperlink>
      <w:r w:rsidRPr="00856B4D">
        <w:rPr>
          <w:rFonts w:cs="Poppins"/>
          <w:szCs w:val="20"/>
        </w:rPr>
        <w:t xml:space="preserve"> their plan to establish a Rare Disease Innovation Hub to enhance the development of treatments for rare diseases. With over 10,000 rare diseases affecting more than 30 million people in the U.S., and most lacking approved treatments, the Hub aims to address the high unmet medical needs of </w:t>
      </w:r>
      <w:r w:rsidRPr="00856B4D">
        <w:rPr>
          <w:rFonts w:cs="Poppins"/>
          <w:szCs w:val="20"/>
        </w:rPr>
        <w:lastRenderedPageBreak/>
        <w:t xml:space="preserve">these patients. The Hub will focus on products for smaller populations or diseases with variable natural histories, fostering cross-agency collaboration and leveraging expertise across FDA centers. The Hub will serve as a central point for engaging the rare disease community, including patients, caregivers, and organizations. It will enhance </w:t>
      </w:r>
      <w:proofErr w:type="spellStart"/>
      <w:r w:rsidRPr="00856B4D">
        <w:rPr>
          <w:rFonts w:cs="Poppins"/>
          <w:szCs w:val="20"/>
        </w:rPr>
        <w:t>intercenter</w:t>
      </w:r>
      <w:proofErr w:type="spellEnd"/>
      <w:r w:rsidRPr="00856B4D">
        <w:rPr>
          <w:rFonts w:cs="Poppins"/>
          <w:szCs w:val="20"/>
        </w:rPr>
        <w:t xml:space="preserve"> collaboration to address common scientific, clinical, and policy issues related to rare disease product development, and advance regulatory science through novel endpoints, biomarker development, innovative trial designs, real-world evidence, and statistical methods. Co-led by the Directors of the Center for Drug Evaluation and Research (CDER) and the Center for Biologics Evaluation and Research (CBER), the Hub will also include a new senior leadership position, the Director of Strategic Coalitions for the Hub, to facilitate external engagement. The FDA plans to hold a public meeting this fall to provide more information and gather feedback to shape the Hub's priorities and initiatives</w:t>
      </w:r>
      <w:r>
        <w:rPr>
          <w:rFonts w:cs="Poppins"/>
          <w:szCs w:val="20"/>
        </w:rPr>
        <w:t>.</w:t>
      </w:r>
    </w:p>
    <w:p w14:paraId="74ACAF3A" w14:textId="3EF05429" w:rsidR="006710C0" w:rsidRPr="00E007ED" w:rsidRDefault="00F53332" w:rsidP="006710C0">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CMS Publishes Final Part Two Guidance for the Medicare Prescription Payment Plan</w:t>
      </w:r>
    </w:p>
    <w:p w14:paraId="51878037" w14:textId="4642873B" w:rsidR="00193422" w:rsidRPr="006710C0" w:rsidRDefault="00193422" w:rsidP="00193422">
      <w:pPr>
        <w:spacing w:after="0" w:line="240" w:lineRule="auto"/>
        <w:ind w:left="360"/>
        <w:rPr>
          <w:rFonts w:cs="Poppins"/>
          <w:szCs w:val="20"/>
        </w:rPr>
      </w:pPr>
      <w:r w:rsidRPr="00193422">
        <w:rPr>
          <w:rFonts w:cs="Poppins"/>
          <w:szCs w:val="20"/>
        </w:rPr>
        <w:t xml:space="preserve">The Centers for Medicare and Medicaid Services (CMS) </w:t>
      </w:r>
      <w:hyperlink r:id="rId17" w:tgtFrame="_blank" w:history="1">
        <w:r w:rsidRPr="00193422">
          <w:rPr>
            <w:rStyle w:val="Hyperlink"/>
            <w:rFonts w:cs="Poppins"/>
            <w:szCs w:val="20"/>
          </w:rPr>
          <w:t>published the final part two guidance</w:t>
        </w:r>
      </w:hyperlink>
      <w:r w:rsidRPr="00193422">
        <w:rPr>
          <w:rFonts w:cs="Poppins"/>
          <w:szCs w:val="20"/>
        </w:rPr>
        <w:t xml:space="preserve"> for the Medicare Prescription Payment Plan, which aims to ensure that people with Medicare prescription drug coverage, especially those most likely to benefit, are aware of the payment option. CMS received several comments from various stakeholders on the draft Medicare Prescription Payment Plan guidance released on February 15, 2024. This feedback led to several key changes and clarifications in the final guidance. Notably, CMS clarified that Part D plans with $0 cost-sharing are not required to offer monthly payment options. Additionally, CMS updated mailing requirements, allowing election request forms to be sent separately from membership ID cards. Ongoing identification of beneficiaries likely to benefit from the program was modified to allow Part D sponsors more flexibility in their outreach strategies. Communication requirements were specified, and changes were made regarding the handling of claims and notifications in long-term care pharmacies. Lastly, CMS revised the re-adjudication process for prescription drug claims to be less burdensome for pharmacies. </w:t>
      </w:r>
    </w:p>
    <w:p w14:paraId="384187B1" w14:textId="52314522" w:rsidR="00500ECF" w:rsidRPr="00E007ED" w:rsidRDefault="00F53332" w:rsidP="00500ECF">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MedPAC Releases Data Book on Health Care Spending and the Medicare Program</w:t>
      </w:r>
    </w:p>
    <w:p w14:paraId="071359A9" w14:textId="30877586" w:rsidR="004F700C" w:rsidRPr="004F700C" w:rsidRDefault="00193422" w:rsidP="004F700C">
      <w:pPr>
        <w:spacing w:after="0" w:line="240" w:lineRule="auto"/>
        <w:ind w:left="360"/>
        <w:rPr>
          <w:rFonts w:cs="Poppins"/>
          <w:color w:val="000000"/>
          <w:shd w:val="clear" w:color="auto" w:fill="FFFFFF"/>
        </w:rPr>
      </w:pPr>
      <w:r w:rsidRPr="00193422">
        <w:rPr>
          <w:rFonts w:cs="Poppins"/>
          <w:szCs w:val="20"/>
        </w:rPr>
        <w:t>T</w:t>
      </w:r>
      <w:r w:rsidRPr="00856B4D">
        <w:rPr>
          <w:rFonts w:cs="Poppins"/>
          <w:szCs w:val="20"/>
        </w:rPr>
        <w:t xml:space="preserve">he Medicare Payment Advisory Commission (MedPAC) </w:t>
      </w:r>
      <w:hyperlink r:id="rId18" w:tgtFrame="_blank" w:history="1">
        <w:r w:rsidRPr="00856B4D">
          <w:rPr>
            <w:rStyle w:val="Hyperlink"/>
            <w:rFonts w:cs="Poppins"/>
            <w:szCs w:val="20"/>
          </w:rPr>
          <w:t>published</w:t>
        </w:r>
      </w:hyperlink>
      <w:r w:rsidRPr="00856B4D">
        <w:rPr>
          <w:rFonts w:cs="Poppins"/>
          <w:szCs w:val="20"/>
        </w:rPr>
        <w:t xml:space="preserve"> a data book entitled “Health Care Spending and the Medicare Program”. The data book provides information on national health care and Medicare spending in addition to data on Medicare beneficiary demographics, dual-eligible beneficiaries, quality of care in the Medicare program, and Medicare beneficiary and other payer liability. The data book also examines provider settings, presenting data on Medicare spending, beneficiaries’ access to care in the setting, and the sector’s Medicare profit margins. In addition, it covers the Medicare Advantage program and prescription drug coverage for Medicare beneficiaries including Part D</w:t>
      </w:r>
      <w:r>
        <w:rPr>
          <w:rFonts w:cs="Poppins"/>
          <w:szCs w:val="20"/>
        </w:rPr>
        <w:t>.</w:t>
      </w:r>
    </w:p>
    <w:p w14:paraId="42EBE63B" w14:textId="546C45A2" w:rsidR="006710C0" w:rsidRPr="00E007ED" w:rsidRDefault="00BF35ED" w:rsidP="006710C0">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lastRenderedPageBreak/>
        <w:t>BPC Releases Brief on Telehealth Policy Recommendations</w:t>
      </w:r>
    </w:p>
    <w:p w14:paraId="7BFFB243" w14:textId="3C092226" w:rsidR="00193422" w:rsidRPr="006710C0" w:rsidRDefault="00193422" w:rsidP="00193422">
      <w:pPr>
        <w:spacing w:after="0" w:line="240" w:lineRule="auto"/>
        <w:ind w:left="360"/>
        <w:rPr>
          <w:rFonts w:cs="Poppins"/>
          <w:szCs w:val="20"/>
        </w:rPr>
      </w:pPr>
      <w:r w:rsidRPr="00856B4D">
        <w:rPr>
          <w:rFonts w:cs="Poppins"/>
          <w:szCs w:val="20"/>
        </w:rPr>
        <w:t xml:space="preserve">The Bipartisan Policy Center (BPC) released an </w:t>
      </w:r>
      <w:hyperlink r:id="rId19" w:tgtFrame="_blank" w:history="1">
        <w:r w:rsidRPr="00856B4D">
          <w:rPr>
            <w:rStyle w:val="Hyperlink"/>
            <w:rFonts w:cs="Poppins"/>
            <w:szCs w:val="20"/>
          </w:rPr>
          <w:t>issue brief</w:t>
        </w:r>
      </w:hyperlink>
      <w:r w:rsidRPr="00856B4D">
        <w:rPr>
          <w:rFonts w:cs="Poppins"/>
          <w:szCs w:val="20"/>
        </w:rPr>
        <w:t xml:space="preserve"> on telehealth policy. The brief provides 12 policy options that would promote the goal of developing long term telehealth reimbursement strategy, ensuring high-quality virtual care, and exploring opportunities for telehealth permanency. Without Congressional action, Medicare will stop covering telehealth at the end of 2024. Policy recommendations include developing a long-term reimbursement strategy balancing access, quality, and costs, including new models for hybrid care, providing sufficient funding for monitoring and preventing misuse, developing best practices for controlled substances, and maintaining telehealth flexibilities for certain providers. The issue brief also recommends policymakers push for permanent telehealth policies, remove geographic and site restrictions, allow more providers to deliver telehealth services, and repeal in-person visit requirements for </w:t>
      </w:r>
      <w:proofErr w:type="spellStart"/>
      <w:r w:rsidRPr="00856B4D">
        <w:rPr>
          <w:rFonts w:cs="Poppins"/>
          <w:szCs w:val="20"/>
        </w:rPr>
        <w:t>telemental</w:t>
      </w:r>
      <w:proofErr w:type="spellEnd"/>
      <w:r w:rsidRPr="00856B4D">
        <w:rPr>
          <w:rFonts w:cs="Poppins"/>
          <w:szCs w:val="20"/>
        </w:rPr>
        <w:t xml:space="preserve"> health services to offer stability for patients and providers. This brief follows the BPC’s previous briefs on </w:t>
      </w:r>
      <w:hyperlink r:id="rId20" w:tgtFrame="_blank" w:history="1">
        <w:r w:rsidRPr="00856B4D">
          <w:rPr>
            <w:rStyle w:val="Hyperlink"/>
            <w:rFonts w:cs="Poppins"/>
            <w:szCs w:val="20"/>
          </w:rPr>
          <w:t>telehealth following the COVID-19 pandemic</w:t>
        </w:r>
      </w:hyperlink>
      <w:r w:rsidRPr="00856B4D">
        <w:rPr>
          <w:rFonts w:cs="Poppins"/>
          <w:szCs w:val="20"/>
        </w:rPr>
        <w:t xml:space="preserve"> in 2022 and the </w:t>
      </w:r>
      <w:hyperlink r:id="rId21" w:tgtFrame="_blank" w:history="1">
        <w:r w:rsidRPr="00856B4D">
          <w:rPr>
            <w:rStyle w:val="Hyperlink"/>
            <w:rFonts w:cs="Poppins"/>
            <w:szCs w:val="20"/>
          </w:rPr>
          <w:t>Medicare telehealth spending estimator</w:t>
        </w:r>
      </w:hyperlink>
      <w:r w:rsidRPr="00856B4D">
        <w:rPr>
          <w:rFonts w:cs="Poppins"/>
          <w:szCs w:val="20"/>
        </w:rPr>
        <w:t xml:space="preserve"> released in 2023.</w:t>
      </w:r>
    </w:p>
    <w:p w14:paraId="1894CADB" w14:textId="1893F4A3" w:rsidR="00E33A26" w:rsidRPr="00E007ED" w:rsidRDefault="00F53332" w:rsidP="00E33A26">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CMS Releases SHO Letter Providing Guidance on Amendments to Provider Directory Requirements of the Consolidated Appropriations Act of 2023</w:t>
      </w:r>
    </w:p>
    <w:p w14:paraId="6AAD799C" w14:textId="7400D752" w:rsidR="00193422" w:rsidRDefault="00193422" w:rsidP="00193422">
      <w:pPr>
        <w:spacing w:after="0" w:line="240" w:lineRule="auto"/>
        <w:ind w:left="360"/>
        <w:rPr>
          <w:rFonts w:cs="Poppins"/>
          <w:szCs w:val="20"/>
        </w:rPr>
      </w:pPr>
      <w:r w:rsidRPr="00856B4D">
        <w:rPr>
          <w:rFonts w:cs="Poppins"/>
          <w:szCs w:val="20"/>
        </w:rPr>
        <w:t xml:space="preserve">The Centers for Medicare and Medicaid Services (CMS) </w:t>
      </w:r>
      <w:hyperlink r:id="rId22" w:tgtFrame="_blank" w:history="1">
        <w:r w:rsidRPr="00856B4D">
          <w:rPr>
            <w:rStyle w:val="Hyperlink"/>
            <w:rFonts w:cs="Poppins"/>
            <w:szCs w:val="20"/>
          </w:rPr>
          <w:t>issued</w:t>
        </w:r>
      </w:hyperlink>
      <w:r w:rsidRPr="00856B4D">
        <w:rPr>
          <w:rFonts w:cs="Poppins"/>
          <w:szCs w:val="20"/>
        </w:rPr>
        <w:t xml:space="preserve"> a State Health Official (SHO) letter to provide guidance on amended requirements and expectations for compliance with the stipulation entitled “Requiring Accurate, Updated, and Searchable Provider Directories” as a part of the Consolidated Appropriations Act (CAA) of 2023. The SHO letter specifically addresses changes to Provider Directory data requirements and features resulting from Section 5123 of the CAA, 2023; the availability of enhanced federal financial participation (FFP) for Medicaid fee-for-service Provider Directory development and operations; corrective action plan requirements for reapproval of Medicaid Systems; and returning to compliance and requesting reapproval of Medicaid Systems. </w:t>
      </w:r>
    </w:p>
    <w:p w14:paraId="2A34D342" w14:textId="787BEADE" w:rsidR="009D03D3" w:rsidRPr="00E007ED" w:rsidRDefault="00F53332" w:rsidP="009D03D3">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 xml:space="preserve">Ardelyx, AAKP, and NMQF Sue HHS and CMS on Medicare Payment Methodology </w:t>
      </w:r>
      <w:proofErr w:type="gramStart"/>
      <w:r>
        <w:rPr>
          <w:rFonts w:ascii="Poppins Medium" w:hAnsi="Poppins Medium" w:cs="Poppins Medium"/>
          <w:color w:val="0F4761" w:themeColor="accent1" w:themeShade="BF"/>
          <w:sz w:val="24"/>
          <w:szCs w:val="24"/>
        </w:rPr>
        <w:t>For</w:t>
      </w:r>
      <w:proofErr w:type="gramEnd"/>
      <w:r>
        <w:rPr>
          <w:rFonts w:ascii="Poppins Medium" w:hAnsi="Poppins Medium" w:cs="Poppins Medium"/>
          <w:color w:val="0F4761" w:themeColor="accent1" w:themeShade="BF"/>
          <w:sz w:val="24"/>
          <w:szCs w:val="24"/>
        </w:rPr>
        <w:t xml:space="preserve"> End Stage Renal Disease Medication</w:t>
      </w:r>
    </w:p>
    <w:p w14:paraId="32C963B8" w14:textId="00EA67BE" w:rsidR="00193422" w:rsidRDefault="00193422" w:rsidP="00193422">
      <w:pPr>
        <w:spacing w:after="0" w:line="240" w:lineRule="auto"/>
        <w:ind w:left="360"/>
        <w:rPr>
          <w:rFonts w:cs="Poppins"/>
          <w:szCs w:val="20"/>
        </w:rPr>
      </w:pPr>
      <w:r w:rsidRPr="00193422">
        <w:rPr>
          <w:rFonts w:cs="Poppins"/>
          <w:szCs w:val="20"/>
        </w:rPr>
        <w:t xml:space="preserve">Ardelyx announced they, the American Association for Kidney Patients (AAKP), and the National Minority Quality Forum (NMQF) are suing the Department of Health and Human Services (HHS) and the Centers for Medicare and Medicaid Services (CMS) over the inclusion of oral-only phosphate binders in Medicare End Stage Renal Disease (ESRD) Prospective Payment System (PPS) bundled payments. The lawsuit claims oral-only phosphate medication inclusion in ESRD PPS bundled payments is inconsistent with previous CMS regulation and violates CMS’s authority under the </w:t>
      </w:r>
      <w:hyperlink r:id="rId23" w:tgtFrame="_blank" w:history="1">
        <w:r w:rsidRPr="00193422">
          <w:rPr>
            <w:rStyle w:val="Hyperlink"/>
            <w:rFonts w:cs="Poppins"/>
            <w:szCs w:val="20"/>
          </w:rPr>
          <w:t>Medicare Improvements for Patients and Providers Act</w:t>
        </w:r>
      </w:hyperlink>
      <w:r w:rsidRPr="00193422">
        <w:rPr>
          <w:rFonts w:cs="Poppins"/>
          <w:szCs w:val="20"/>
        </w:rPr>
        <w:t xml:space="preserve"> (MIPPA). The End Stage Renal Disease Prospective Payment System </w:t>
      </w:r>
      <w:hyperlink r:id="rId24" w:tgtFrame="_blank" w:history="1">
        <w:r w:rsidRPr="00193422">
          <w:rPr>
            <w:rStyle w:val="Hyperlink"/>
            <w:rFonts w:cs="Poppins"/>
            <w:szCs w:val="20"/>
          </w:rPr>
          <w:t>final rule</w:t>
        </w:r>
      </w:hyperlink>
      <w:r w:rsidRPr="00193422">
        <w:rPr>
          <w:rFonts w:cs="Poppins"/>
          <w:szCs w:val="20"/>
        </w:rPr>
        <w:t xml:space="preserve"> was released by CMS on October 27, 2023 and goes into effect January 1, 2025. In their statement, Ardelyx claims CMS’s inclusion of oral-only phosphate binders in Medicare bundled payments limits patient choice and timely access to medications. In the </w:t>
      </w:r>
      <w:hyperlink r:id="rId25" w:tgtFrame="_blank" w:history="1">
        <w:r w:rsidRPr="00193422">
          <w:rPr>
            <w:rStyle w:val="Hyperlink"/>
            <w:rFonts w:cs="Poppins"/>
            <w:szCs w:val="20"/>
          </w:rPr>
          <w:t>final rule</w:t>
        </w:r>
      </w:hyperlink>
      <w:r w:rsidRPr="00193422">
        <w:rPr>
          <w:rFonts w:cs="Poppins"/>
          <w:szCs w:val="20"/>
        </w:rPr>
        <w:t xml:space="preserve">, CMS justifies the inclusion of oral-only phosphate medications in bundled </w:t>
      </w:r>
      <w:r w:rsidRPr="00193422">
        <w:rPr>
          <w:rFonts w:cs="Poppins"/>
          <w:szCs w:val="20"/>
        </w:rPr>
        <w:lastRenderedPageBreak/>
        <w:t xml:space="preserve">payments as consistent with the previous final rule. Healthsperien found evidence of CMS regulatory efforts to include oral-only medications dating back to the </w:t>
      </w:r>
      <w:hyperlink r:id="rId26" w:anchor="p-421" w:tgtFrame="_blank" w:history="1">
        <w:r w:rsidRPr="00193422">
          <w:rPr>
            <w:rStyle w:val="Hyperlink"/>
            <w:rFonts w:cs="Poppins"/>
            <w:szCs w:val="20"/>
          </w:rPr>
          <w:t>ESRD PPS final rule in 2011</w:t>
        </w:r>
      </w:hyperlink>
      <w:r w:rsidRPr="00193422">
        <w:rPr>
          <w:rFonts w:cs="Poppins"/>
          <w:szCs w:val="20"/>
        </w:rPr>
        <w:t xml:space="preserve">. </w:t>
      </w:r>
      <w:proofErr w:type="spellStart"/>
      <w:r w:rsidRPr="00193422">
        <w:rPr>
          <w:rFonts w:cs="Poppins"/>
          <w:szCs w:val="20"/>
        </w:rPr>
        <w:t>Xphozah</w:t>
      </w:r>
      <w:proofErr w:type="spellEnd"/>
      <w:r w:rsidRPr="00193422">
        <w:rPr>
          <w:rFonts w:cs="Poppins"/>
          <w:szCs w:val="20"/>
        </w:rPr>
        <w:t xml:space="preserve">, </w:t>
      </w:r>
      <w:proofErr w:type="spellStart"/>
      <w:r w:rsidRPr="00193422">
        <w:rPr>
          <w:rFonts w:cs="Poppins"/>
          <w:szCs w:val="20"/>
        </w:rPr>
        <w:t>Ardelyx’s</w:t>
      </w:r>
      <w:proofErr w:type="spellEnd"/>
      <w:r w:rsidRPr="00193422">
        <w:rPr>
          <w:rFonts w:cs="Poppins"/>
          <w:szCs w:val="20"/>
        </w:rPr>
        <w:t xml:space="preserve"> oral-only phosphate binder, lowers serum phosphorus in patients with chronic kidney disease (CKD) on dialysis. AAKP and NMQF have not released a statement on the lawsuit.</w:t>
      </w:r>
      <w:r w:rsidRPr="00193422">
        <w:rPr>
          <w:rFonts w:cs="Poppins"/>
          <w:b/>
          <w:bCs/>
          <w:szCs w:val="20"/>
        </w:rPr>
        <w:t> </w:t>
      </w:r>
      <w:r w:rsidRPr="00193422">
        <w:rPr>
          <w:rFonts w:cs="Poppins"/>
          <w:szCs w:val="20"/>
        </w:rPr>
        <w:t> </w:t>
      </w:r>
    </w:p>
    <w:p w14:paraId="7A386B5B" w14:textId="317E40C4" w:rsidR="00952320" w:rsidRPr="00E007ED" w:rsidRDefault="00F53332" w:rsidP="00952320">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Study Analyzes Impact of Access to Public Health Insurance on Future Health Choices</w:t>
      </w:r>
    </w:p>
    <w:p w14:paraId="22FFF9E9" w14:textId="5A428DB0" w:rsidR="00193422" w:rsidRDefault="00193422" w:rsidP="00193422">
      <w:pPr>
        <w:spacing w:after="0" w:line="240" w:lineRule="auto"/>
        <w:ind w:left="360"/>
        <w:rPr>
          <w:rFonts w:cs="Poppins"/>
          <w:szCs w:val="20"/>
        </w:rPr>
      </w:pPr>
      <w:r w:rsidRPr="00193422">
        <w:rPr>
          <w:rFonts w:cs="Poppins"/>
          <w:szCs w:val="20"/>
        </w:rPr>
        <w:t xml:space="preserve">The National Bureau of Economic Research published a </w:t>
      </w:r>
      <w:hyperlink r:id="rId27" w:tgtFrame="_blank" w:history="1">
        <w:r w:rsidRPr="00193422">
          <w:rPr>
            <w:rStyle w:val="Hyperlink"/>
            <w:rFonts w:cs="Poppins"/>
            <w:szCs w:val="20"/>
          </w:rPr>
          <w:t>study</w:t>
        </w:r>
      </w:hyperlink>
      <w:r w:rsidRPr="00193422">
        <w:rPr>
          <w:rFonts w:cs="Poppins"/>
          <w:szCs w:val="20"/>
        </w:rPr>
        <w:t xml:space="preserve"> on how access to publicly subsidized health insurance for people under 65 living in low-income zip codes impacts future Medicare eligibility. The researchers used administrative data to assess enrollment in various Medicare programs, including Medicaid dual coverage, Medicare Part D, the Low-Income Subsidy (LIS), and Medicare Advantage. They found that Medicaid expansion states saw a significant increase in dual Medicaid enrollment among new Medicare beneficiaries compared to non-expansion states, leading to higher healthcare usage and lower out-of-pocket spending. This increase in dual Medicaid coverage also led to higher participation in LIS and Part D programs due to automatic enrollment mechanisms. The study emphasized the importance of automatic enrollment in increasing program participation and reducing administrative barriers. The findings indicate that the increase in dual Medicaid enrollment is primarily among the lowest-income individuals, who benefit most from the comprehensive coverage offered by full Medicaid. Additionally, the study suggests that earlier exposure to safety net programs like Medicaid can have significant spillover effects, influencing enrollment in other public benefit programs at later stages in life</w:t>
      </w:r>
      <w:r>
        <w:rPr>
          <w:rFonts w:cs="Poppins"/>
          <w:szCs w:val="20"/>
        </w:rPr>
        <w:t>.</w:t>
      </w:r>
    </w:p>
    <w:p w14:paraId="7C5B5302" w14:textId="77777777" w:rsidR="00EF1D87" w:rsidRPr="00500ECF" w:rsidRDefault="00EF1D87" w:rsidP="00C543D9">
      <w:pPr>
        <w:spacing w:after="0" w:line="240" w:lineRule="auto"/>
        <w:rPr>
          <w:rFonts w:cs="Poppins"/>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0C35CD">
        <w:rPr>
          <w:rFonts w:ascii="Poppins SemiBold" w:hAnsi="Poppins SemiBold" w:cs="Poppins SemiBold"/>
          <w:sz w:val="32"/>
          <w:szCs w:val="16"/>
        </w:rPr>
        <w:t>What’s on Tap</w:t>
      </w:r>
    </w:p>
    <w:p w14:paraId="496F0106" w14:textId="77777777" w:rsidR="00EF1D87" w:rsidRDefault="00EF1D87" w:rsidP="00EF1D87">
      <w:pPr>
        <w:pStyle w:val="ListParagraph"/>
        <w:numPr>
          <w:ilvl w:val="0"/>
          <w:numId w:val="26"/>
        </w:numPr>
        <w:pBdr>
          <w:top w:val="nil"/>
          <w:left w:val="nil"/>
          <w:bottom w:val="nil"/>
          <w:right w:val="nil"/>
          <w:between w:val="nil"/>
        </w:pBdr>
        <w:rPr>
          <w:rFonts w:eastAsia="Calibri" w:cs="Poppins"/>
          <w:bCs/>
          <w:color w:val="000000"/>
          <w:szCs w:val="20"/>
        </w:rPr>
      </w:pPr>
      <w:r w:rsidRPr="00EF1D87">
        <w:rPr>
          <w:rFonts w:eastAsia="Calibri" w:cs="Poppins"/>
          <w:bCs/>
          <w:color w:val="000000"/>
          <w:szCs w:val="20"/>
        </w:rPr>
        <w:t xml:space="preserve">Both chambers of Congress are back in session this week, with the House in session Monday – Thursday and the Senate Tuesday – Friday. </w:t>
      </w:r>
    </w:p>
    <w:p w14:paraId="313666CA" w14:textId="77777777" w:rsidR="00EF1D87" w:rsidRPr="00EF1D87" w:rsidRDefault="00EF1D87" w:rsidP="00EF1D87">
      <w:pPr>
        <w:pStyle w:val="ListParagraph"/>
        <w:numPr>
          <w:ilvl w:val="0"/>
          <w:numId w:val="26"/>
        </w:numPr>
        <w:pBdr>
          <w:top w:val="nil"/>
          <w:left w:val="nil"/>
          <w:bottom w:val="nil"/>
          <w:right w:val="nil"/>
          <w:between w:val="nil"/>
        </w:pBdr>
        <w:rPr>
          <w:rFonts w:eastAsia="Calibri" w:cs="Poppins"/>
          <w:bCs/>
          <w:color w:val="000000"/>
          <w:szCs w:val="20"/>
        </w:rPr>
      </w:pPr>
      <w:r w:rsidRPr="00EF1D87">
        <w:rPr>
          <w:rFonts w:eastAsia="Calibri" w:cs="Poppins"/>
          <w:bCs/>
          <w:color w:val="000000"/>
          <w:szCs w:val="20"/>
        </w:rPr>
        <w:t xml:space="preserve">Last week, Republicans </w:t>
      </w:r>
      <w:hyperlink r:id="rId28" w:tgtFrame="_blank" w:history="1">
        <w:r w:rsidRPr="00EF1D87">
          <w:rPr>
            <w:rStyle w:val="Hyperlink"/>
            <w:rFonts w:eastAsia="Calibri" w:cs="Poppins"/>
            <w:bCs/>
            <w:szCs w:val="20"/>
          </w:rPr>
          <w:t>gathered</w:t>
        </w:r>
      </w:hyperlink>
      <w:r w:rsidRPr="00EF1D87">
        <w:rPr>
          <w:rFonts w:eastAsia="Calibri" w:cs="Poppins"/>
          <w:bCs/>
          <w:color w:val="000000"/>
          <w:szCs w:val="20"/>
        </w:rPr>
        <w:t xml:space="preserve"> in Milwaukee at the Republican National Convention (RNC) to outline the party’s stances on political issues driving their election campaign. While not a large focus of the convention, GOP presidential nominee Donald Trump and vice president nominee Senator J.D. Vance (R-OH), in addition to other prominent Republican figures, did voice the party’s stances on several realms of healthcare policy that reflected the </w:t>
      </w:r>
      <w:hyperlink r:id="rId29" w:tgtFrame="_blank" w:history="1">
        <w:r w:rsidRPr="00EF1D87">
          <w:rPr>
            <w:rStyle w:val="Hyperlink"/>
            <w:rFonts w:eastAsia="Calibri" w:cs="Poppins"/>
            <w:bCs/>
            <w:szCs w:val="20"/>
          </w:rPr>
          <w:t>Republican Party Platform</w:t>
        </w:r>
      </w:hyperlink>
      <w:r w:rsidRPr="00EF1D87">
        <w:rPr>
          <w:rFonts w:eastAsia="Calibri" w:cs="Poppins"/>
          <w:bCs/>
          <w:color w:val="000000"/>
          <w:szCs w:val="20"/>
        </w:rPr>
        <w:t xml:space="preserve">. While overturning </w:t>
      </w:r>
      <w:r w:rsidRPr="00EF1D87">
        <w:rPr>
          <w:rFonts w:eastAsia="Calibri" w:cs="Poppins"/>
          <w:bCs/>
          <w:i/>
          <w:iCs/>
          <w:color w:val="000000"/>
          <w:szCs w:val="20"/>
        </w:rPr>
        <w:t>Roe v. Wade</w:t>
      </w:r>
      <w:r w:rsidRPr="00EF1D87">
        <w:rPr>
          <w:rFonts w:eastAsia="Calibri" w:cs="Poppins"/>
          <w:bCs/>
          <w:color w:val="000000"/>
          <w:szCs w:val="20"/>
        </w:rPr>
        <w:t xml:space="preserve"> represents a crowning achievement for Republicans stemming from the Trump Administration, the issue was never directly mentioned. The lack of emphasis on abortion at the convention reflects the Trump campaign’s relative softening of its stance on abortion, focusing on efforts to “leave it to the states.” Former President Trump vowed to not cut Medicare in addition to promising to find cures for Alzheimer’s disease and cancer. However, he did not outline any health care proposals for his </w:t>
      </w:r>
      <w:r w:rsidRPr="00EF1D87">
        <w:rPr>
          <w:rFonts w:eastAsia="Calibri" w:cs="Poppins"/>
          <w:bCs/>
          <w:color w:val="000000"/>
          <w:szCs w:val="20"/>
        </w:rPr>
        <w:lastRenderedPageBreak/>
        <w:t>second term. The Republican Party Platform does add that the party will “protect Medicare and ensure seniors receive the care they need without being burdened by excessive costs by increasing transparency, promoting choice and competition, and expanding access to new affordable healthcare and prescription drug options.”</w:t>
      </w:r>
    </w:p>
    <w:p w14:paraId="6678F57F" w14:textId="511AAE67" w:rsidR="00EF1D87" w:rsidRPr="00EF1D87" w:rsidRDefault="00EF1D87" w:rsidP="00330820">
      <w:pPr>
        <w:pStyle w:val="ListParagraph"/>
        <w:numPr>
          <w:ilvl w:val="0"/>
          <w:numId w:val="26"/>
        </w:numPr>
        <w:pBdr>
          <w:top w:val="nil"/>
          <w:left w:val="nil"/>
          <w:bottom w:val="nil"/>
          <w:right w:val="nil"/>
          <w:between w:val="nil"/>
        </w:pBdr>
        <w:rPr>
          <w:rFonts w:eastAsia="Calibri" w:cs="Poppins"/>
          <w:bCs/>
          <w:color w:val="000000"/>
          <w:szCs w:val="20"/>
        </w:rPr>
      </w:pPr>
      <w:r w:rsidRPr="000011E2">
        <w:rPr>
          <w:rFonts w:eastAsia="Calibri" w:cs="Poppins"/>
          <w:bCs/>
          <w:color w:val="000000"/>
          <w:szCs w:val="20"/>
        </w:rPr>
        <w:t>Coming off the back of President Joe Biden’s decision to drop out of the 2024 election, the most likely candidate for the Democratic nomination becomes Vice President Kamala Harris given Biden’s endorsement and her access to the Biden-Harris campaign funds. Attention now turns to Harris’s past health care stances and whether her campaign will echo the Biden administration’s policy goals. In the past, Harris has staked health care positions further left than the current president. In 2019 while on the campaign trail, she advocated for federal abortion protections. During her time as a senator, she signed onto Senator Bernie Sanders’s (I-VT) Medicare for All bill in addition to an array of more modest alternatives. In her seven years as California’s attorney general, she went after anticompetitive insurance and pharmaceutical practices, winning settlements from large health care corporations including Quest Diagnostics and McKesson.</w:t>
      </w:r>
    </w:p>
    <w:p w14:paraId="4D63F5A2" w14:textId="568C7BDF" w:rsidR="00330820" w:rsidRPr="00330820" w:rsidRDefault="00226ACA" w:rsidP="00330820">
      <w:pPr>
        <w:pStyle w:val="Heading1"/>
        <w:rPr>
          <w:rFonts w:ascii="Poppins SemiBold" w:hAnsi="Poppins SemiBold" w:cs="Poppins SemiBold"/>
          <w:sz w:val="32"/>
          <w:szCs w:val="16"/>
        </w:rPr>
      </w:pPr>
      <w:r w:rsidRPr="00CB3B30">
        <w:rPr>
          <w:rFonts w:ascii="Poppins SemiBold" w:hAnsi="Poppins SemiBold" w:cs="Poppins SemiBold"/>
          <w:sz w:val="32"/>
          <w:szCs w:val="16"/>
        </w:rPr>
        <w:t>Upcoming Event</w:t>
      </w:r>
      <w:r w:rsidR="00330820" w:rsidRPr="00CB3B30">
        <w:rPr>
          <w:rFonts w:ascii="Poppins SemiBold" w:hAnsi="Poppins SemiBold" w:cs="Poppins SemiBold"/>
          <w:sz w:val="32"/>
          <w:szCs w:val="16"/>
        </w:rPr>
        <w:t>s</w:t>
      </w:r>
    </w:p>
    <w:p w14:paraId="78B4789F" w14:textId="2ADE0953" w:rsidR="00330820" w:rsidRPr="00BB2A13" w:rsidRDefault="001A4A3F" w:rsidP="00330820">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Wednesday</w:t>
      </w:r>
    </w:p>
    <w:p w14:paraId="4083252F" w14:textId="127E8451" w:rsidR="00E17D68" w:rsidRPr="005554AE" w:rsidRDefault="001A4A3F" w:rsidP="001A4A3F">
      <w:pPr>
        <w:numPr>
          <w:ilvl w:val="0"/>
          <w:numId w:val="27"/>
        </w:numPr>
        <w:spacing w:after="240"/>
        <w:rPr>
          <w:rFonts w:eastAsiaTheme="minorEastAsia" w:cs="Poppins"/>
          <w:color w:val="000000" w:themeColor="text1"/>
          <w:szCs w:val="18"/>
        </w:rPr>
      </w:pPr>
      <w:r>
        <w:rPr>
          <w:rFonts w:eastAsiaTheme="minorEastAsia" w:cs="Poppins"/>
          <w:color w:val="000000" w:themeColor="text1"/>
          <w:szCs w:val="20"/>
        </w:rPr>
        <w:t xml:space="preserve">The Alliance for Health Policy will hold their </w:t>
      </w:r>
      <w:hyperlink r:id="rId30" w:history="1">
        <w:r w:rsidRPr="001A4A3F">
          <w:rPr>
            <w:rStyle w:val="Hyperlink"/>
            <w:rFonts w:eastAsiaTheme="minorEastAsia" w:cs="Poppins"/>
            <w:szCs w:val="20"/>
          </w:rPr>
          <w:t>2024 Signature Series: AI in Health-Navigating New Frontiers.</w:t>
        </w:r>
      </w:hyperlink>
    </w:p>
    <w:p w14:paraId="09C713F1" w14:textId="363D11E2"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16B6A7B4">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p>
    <w:sectPr w:rsidR="00CD4912" w:rsidSect="00226ACA">
      <w:headerReference w:type="default" r:id="rId33"/>
      <w:footerReference w:type="default" r:id="rId34"/>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641F9" w14:textId="77777777" w:rsidR="003C28F2" w:rsidRDefault="003C28F2">
      <w:pPr>
        <w:spacing w:after="0" w:line="240" w:lineRule="auto"/>
      </w:pPr>
      <w:r>
        <w:separator/>
      </w:r>
    </w:p>
  </w:endnote>
  <w:endnote w:type="continuationSeparator" w:id="0">
    <w:p w14:paraId="021B9737" w14:textId="77777777" w:rsidR="003C28F2" w:rsidRDefault="003C2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50F89">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50F89"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50F89"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69255" w14:textId="77777777" w:rsidR="003C28F2" w:rsidRDefault="003C28F2">
      <w:pPr>
        <w:spacing w:after="0" w:line="240" w:lineRule="auto"/>
      </w:pPr>
      <w:r>
        <w:separator/>
      </w:r>
    </w:p>
  </w:footnote>
  <w:footnote w:type="continuationSeparator" w:id="0">
    <w:p w14:paraId="0A49815C" w14:textId="77777777" w:rsidR="003C28F2" w:rsidRDefault="003C2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50F89"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6"/>
  </w:num>
  <w:num w:numId="2" w16cid:durableId="127743416">
    <w:abstractNumId w:val="23"/>
  </w:num>
  <w:num w:numId="3" w16cid:durableId="1916818253">
    <w:abstractNumId w:val="24"/>
  </w:num>
  <w:num w:numId="4" w16cid:durableId="1562860064">
    <w:abstractNumId w:val="14"/>
  </w:num>
  <w:num w:numId="5" w16cid:durableId="747187781">
    <w:abstractNumId w:val="20"/>
  </w:num>
  <w:num w:numId="6" w16cid:durableId="360473614">
    <w:abstractNumId w:val="11"/>
  </w:num>
  <w:num w:numId="7" w16cid:durableId="2074813228">
    <w:abstractNumId w:val="21"/>
  </w:num>
  <w:num w:numId="8" w16cid:durableId="612904506">
    <w:abstractNumId w:val="5"/>
  </w:num>
  <w:num w:numId="9" w16cid:durableId="941183654">
    <w:abstractNumId w:val="22"/>
  </w:num>
  <w:num w:numId="10" w16cid:durableId="916745150">
    <w:abstractNumId w:val="12"/>
  </w:num>
  <w:num w:numId="11" w16cid:durableId="1211113321">
    <w:abstractNumId w:val="13"/>
  </w:num>
  <w:num w:numId="12" w16cid:durableId="444888970">
    <w:abstractNumId w:val="16"/>
  </w:num>
  <w:num w:numId="13" w16cid:durableId="1860123175">
    <w:abstractNumId w:val="7"/>
  </w:num>
  <w:num w:numId="14" w16cid:durableId="31660070">
    <w:abstractNumId w:val="10"/>
  </w:num>
  <w:num w:numId="15" w16cid:durableId="1157381680">
    <w:abstractNumId w:val="25"/>
  </w:num>
  <w:num w:numId="16" w16cid:durableId="2024474500">
    <w:abstractNumId w:val="2"/>
  </w:num>
  <w:num w:numId="17" w16cid:durableId="158468993">
    <w:abstractNumId w:val="15"/>
  </w:num>
  <w:num w:numId="18" w16cid:durableId="51200545">
    <w:abstractNumId w:val="0"/>
  </w:num>
  <w:num w:numId="19" w16cid:durableId="821049104">
    <w:abstractNumId w:val="3"/>
  </w:num>
  <w:num w:numId="20" w16cid:durableId="1487672424">
    <w:abstractNumId w:val="8"/>
  </w:num>
  <w:num w:numId="21" w16cid:durableId="1602059276">
    <w:abstractNumId w:val="4"/>
  </w:num>
  <w:num w:numId="22" w16cid:durableId="47806563">
    <w:abstractNumId w:val="6"/>
  </w:num>
  <w:num w:numId="23" w16cid:durableId="305356633">
    <w:abstractNumId w:val="19"/>
  </w:num>
  <w:num w:numId="24" w16cid:durableId="678628084">
    <w:abstractNumId w:val="17"/>
  </w:num>
  <w:num w:numId="25" w16cid:durableId="1807039519">
    <w:abstractNumId w:val="9"/>
  </w:num>
  <w:num w:numId="26" w16cid:durableId="106318828">
    <w:abstractNumId w:val="18"/>
  </w:num>
  <w:num w:numId="27" w16cid:durableId="70563824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302F7"/>
    <w:rsid w:val="00036379"/>
    <w:rsid w:val="0005263B"/>
    <w:rsid w:val="000712FF"/>
    <w:rsid w:val="000C35CD"/>
    <w:rsid w:val="0011568D"/>
    <w:rsid w:val="0012379B"/>
    <w:rsid w:val="00126FE3"/>
    <w:rsid w:val="0015610B"/>
    <w:rsid w:val="00170AD9"/>
    <w:rsid w:val="00171D37"/>
    <w:rsid w:val="00193422"/>
    <w:rsid w:val="001A4A3F"/>
    <w:rsid w:val="001D4903"/>
    <w:rsid w:val="00220477"/>
    <w:rsid w:val="00226ACA"/>
    <w:rsid w:val="00266E15"/>
    <w:rsid w:val="00273583"/>
    <w:rsid w:val="0027672E"/>
    <w:rsid w:val="00286B7D"/>
    <w:rsid w:val="00295944"/>
    <w:rsid w:val="002E15F2"/>
    <w:rsid w:val="002F004A"/>
    <w:rsid w:val="00310E21"/>
    <w:rsid w:val="00330820"/>
    <w:rsid w:val="00357A9C"/>
    <w:rsid w:val="00390A90"/>
    <w:rsid w:val="003C28F2"/>
    <w:rsid w:val="003D5D0C"/>
    <w:rsid w:val="00443633"/>
    <w:rsid w:val="00451283"/>
    <w:rsid w:val="0047795D"/>
    <w:rsid w:val="004B29FC"/>
    <w:rsid w:val="004D15B9"/>
    <w:rsid w:val="004D16A4"/>
    <w:rsid w:val="004F260C"/>
    <w:rsid w:val="004F700C"/>
    <w:rsid w:val="005000B1"/>
    <w:rsid w:val="00500ECF"/>
    <w:rsid w:val="00540E02"/>
    <w:rsid w:val="005554AE"/>
    <w:rsid w:val="005A6EEF"/>
    <w:rsid w:val="00606A05"/>
    <w:rsid w:val="00612F79"/>
    <w:rsid w:val="00614EFF"/>
    <w:rsid w:val="006258FD"/>
    <w:rsid w:val="00656DE9"/>
    <w:rsid w:val="00657D1D"/>
    <w:rsid w:val="006622DA"/>
    <w:rsid w:val="006710C0"/>
    <w:rsid w:val="006B6E77"/>
    <w:rsid w:val="0072131F"/>
    <w:rsid w:val="00733CC7"/>
    <w:rsid w:val="00736378"/>
    <w:rsid w:val="00742A7E"/>
    <w:rsid w:val="0075315A"/>
    <w:rsid w:val="00754D4E"/>
    <w:rsid w:val="00791F13"/>
    <w:rsid w:val="00797007"/>
    <w:rsid w:val="007C09BF"/>
    <w:rsid w:val="007E4E3A"/>
    <w:rsid w:val="007E63EA"/>
    <w:rsid w:val="00814EEF"/>
    <w:rsid w:val="008A1F3D"/>
    <w:rsid w:val="008A46E3"/>
    <w:rsid w:val="008A5D11"/>
    <w:rsid w:val="008C4D88"/>
    <w:rsid w:val="008C52D4"/>
    <w:rsid w:val="00952320"/>
    <w:rsid w:val="009D03D3"/>
    <w:rsid w:val="009D4885"/>
    <w:rsid w:val="009E143A"/>
    <w:rsid w:val="009E754B"/>
    <w:rsid w:val="00A106A5"/>
    <w:rsid w:val="00A34162"/>
    <w:rsid w:val="00A66668"/>
    <w:rsid w:val="00A73302"/>
    <w:rsid w:val="00AA24EE"/>
    <w:rsid w:val="00AC375B"/>
    <w:rsid w:val="00B17242"/>
    <w:rsid w:val="00B257B0"/>
    <w:rsid w:val="00B33654"/>
    <w:rsid w:val="00B712E4"/>
    <w:rsid w:val="00B85121"/>
    <w:rsid w:val="00BD3602"/>
    <w:rsid w:val="00BD400A"/>
    <w:rsid w:val="00BE2FE6"/>
    <w:rsid w:val="00BF35ED"/>
    <w:rsid w:val="00C24621"/>
    <w:rsid w:val="00C543D9"/>
    <w:rsid w:val="00C6549F"/>
    <w:rsid w:val="00C65C71"/>
    <w:rsid w:val="00C9682A"/>
    <w:rsid w:val="00CA3842"/>
    <w:rsid w:val="00CB3B30"/>
    <w:rsid w:val="00CD4912"/>
    <w:rsid w:val="00CF61A3"/>
    <w:rsid w:val="00CF680F"/>
    <w:rsid w:val="00D11B23"/>
    <w:rsid w:val="00D31D3B"/>
    <w:rsid w:val="00D331DD"/>
    <w:rsid w:val="00D726C0"/>
    <w:rsid w:val="00DA483A"/>
    <w:rsid w:val="00E007ED"/>
    <w:rsid w:val="00E17D68"/>
    <w:rsid w:val="00E33A26"/>
    <w:rsid w:val="00E609D1"/>
    <w:rsid w:val="00E756C7"/>
    <w:rsid w:val="00E76838"/>
    <w:rsid w:val="00E83686"/>
    <w:rsid w:val="00EB3B75"/>
    <w:rsid w:val="00EC72B9"/>
    <w:rsid w:val="00EF1D87"/>
    <w:rsid w:val="00F15D36"/>
    <w:rsid w:val="00F34182"/>
    <w:rsid w:val="00F53332"/>
    <w:rsid w:val="00F53A3C"/>
    <w:rsid w:val="00F54C3A"/>
    <w:rsid w:val="00F566BA"/>
    <w:rsid w:val="00F6455D"/>
    <w:rsid w:val="00F87569"/>
    <w:rsid w:val="00FC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ncbddd/disabilityandhealth/impacts/index.html" TargetMode="External"/><Relationship Id="rId18" Type="http://schemas.openxmlformats.org/officeDocument/2006/relationships/hyperlink" Target="https://healthsperien.us19.list-manage.com/track/click?u=b80803827ec1d826bd16eace6&amp;id=984aed011e&amp;e=02f9a79650" TargetMode="External"/><Relationship Id="rId26" Type="http://schemas.openxmlformats.org/officeDocument/2006/relationships/hyperlink" Target="https://www.federalregister.gov/documents/2022/11/07/2022-23778/medicare-program-end-stage-renal-disease-prospective-payment-system-payment-for-renal-dialysis" TargetMode="External"/><Relationship Id="rId3" Type="http://schemas.openxmlformats.org/officeDocument/2006/relationships/settings" Target="settings.xml"/><Relationship Id="rId21" Type="http://schemas.openxmlformats.org/officeDocument/2006/relationships/hyperlink" Target="https://healthsperien.us19.list-manage.com/track/click?u=b80803827ec1d826bd16eace6&amp;id=e3463daf76&amp;e=02f9a79650"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cdc.gov/media/releases/2024/s0716-Adult-disability.html" TargetMode="External"/><Relationship Id="rId17" Type="http://schemas.openxmlformats.org/officeDocument/2006/relationships/hyperlink" Target="https://healthsperien.us19.list-manage.com/track/click?u=b80803827ec1d826bd16eace6&amp;id=517ce0873f&amp;e=02f9a79650" TargetMode="External"/><Relationship Id="rId25" Type="http://schemas.openxmlformats.org/officeDocument/2006/relationships/hyperlink" Target="https://www.govinfo.gov/content/pkg/FR-2023-11-06/pdf/2023-23915.pdf"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healthsperien.us19.list-manage.com/track/click?u=b80803827ec1d826bd16eace6&amp;id=c832b2f098&amp;e=02f9a79650" TargetMode="External"/><Relationship Id="rId20" Type="http://schemas.openxmlformats.org/officeDocument/2006/relationships/hyperlink" Target="https://healthsperien.us19.list-manage.com/track/click?u=b80803827ec1d826bd16eace6&amp;id=3badc4a133&amp;e=02f9a79650" TargetMode="External"/><Relationship Id="rId29" Type="http://schemas.openxmlformats.org/officeDocument/2006/relationships/hyperlink" Target="https://www.presidency.ucsb.edu/documents/2024-republican-party-platfo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c-d.org/fichiers/CCD-LTSS-HR.2941.pdf" TargetMode="External"/><Relationship Id="rId24" Type="http://schemas.openxmlformats.org/officeDocument/2006/relationships/hyperlink" Target="https://www.govinfo.gov/content/pkg/FR-2023-11-06/pdf/2023-23915.pdf" TargetMode="External"/><Relationship Id="rId32"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healthsperien.us19.list-manage.com/track/click?u=b80803827ec1d826bd16eace6&amp;id=a7a50cb5de&amp;e=02f9a79650" TargetMode="External"/><Relationship Id="rId23" Type="http://schemas.openxmlformats.org/officeDocument/2006/relationships/hyperlink" Target="https://www.govinfo.gov/content/pkg/PLAW-110publ275/pdf/PLAW-110publ275.pdf" TargetMode="External"/><Relationship Id="rId28" Type="http://schemas.openxmlformats.org/officeDocument/2006/relationships/hyperlink" Target="https://gopconvention2024.com/" TargetMode="External"/><Relationship Id="rId36" Type="http://schemas.openxmlformats.org/officeDocument/2006/relationships/theme" Target="theme/theme1.xml"/><Relationship Id="rId10" Type="http://schemas.openxmlformats.org/officeDocument/2006/relationships/hyperlink" Target="https://www.federalregister.gov/documents/2024/06/12/2024-12825/statistical-policy-directive-no-10-standard-occupational-classification-soc-request-for-comments-on" TargetMode="External"/><Relationship Id="rId19" Type="http://schemas.openxmlformats.org/officeDocument/2006/relationships/hyperlink" Target="https://healthsperien.us19.list-manage.com/track/click?u=b80803827ec1d826bd16eace6&amp;id=4874385b8e&amp;e=02f9a79650" TargetMode="External"/><Relationship Id="rId31"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blog.ssa.gov/government-programs-for-children-with-special-needs/" TargetMode="External"/><Relationship Id="rId14" Type="http://schemas.openxmlformats.org/officeDocument/2006/relationships/hyperlink" Target="https://healthsperien.us19.list-manage.com/track/click?u=b80803827ec1d826bd16eace6&amp;id=fe3508cb8c&amp;e=02f9a79650" TargetMode="External"/><Relationship Id="rId22" Type="http://schemas.openxmlformats.org/officeDocument/2006/relationships/hyperlink" Target="https://healthsperien.us19.list-manage.com/track/click?u=b80803827ec1d826bd16eace6&amp;id=c8911dcdde&amp;e=02f9a79650" TargetMode="External"/><Relationship Id="rId27" Type="http://schemas.openxmlformats.org/officeDocument/2006/relationships/hyperlink" Target="https://www.nber.org/papers/w32675" TargetMode="External"/><Relationship Id="rId30" Type="http://schemas.openxmlformats.org/officeDocument/2006/relationships/hyperlink" Target="https://www.allhealthpolicy.org/events/2024summitwelcomereception" TargetMode="External"/><Relationship Id="rId35" Type="http://schemas.openxmlformats.org/officeDocument/2006/relationships/fontTable" Target="fontTable.xml"/><Relationship Id="rId8" Type="http://schemas.openxmlformats.org/officeDocument/2006/relationships/hyperlink" Target="https://www.federalregister.gov/documents/2024/07/19/2024-14542/required-minimum-distribu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2726</Words>
  <Characters>15539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2024-07-23T18:42:00Z</dcterms:created>
  <dcterms:modified xsi:type="dcterms:W3CDTF">2024-07-23T18:42:00Z</dcterms:modified>
</cp:coreProperties>
</file>