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CC" w:rsidRDefault="00D12F2C" w:rsidP="00BB3CDD">
      <w:pPr>
        <w:pStyle w:val="NoSpacing"/>
      </w:pPr>
      <w:r w:rsidRPr="003C29CC">
        <w:rPr>
          <w:b/>
          <w:i/>
          <w:u w:val="single"/>
        </w:rPr>
        <w:t>Excludes</w:t>
      </w:r>
      <w:r w:rsidR="003C29CC" w:rsidRPr="003C29CC">
        <w:rPr>
          <w:b/>
          <w:i/>
        </w:rPr>
        <w:t>:</w:t>
      </w:r>
      <w:r w:rsidR="003C29CC">
        <w:t xml:space="preserve">  C</w:t>
      </w:r>
      <w:r w:rsidRPr="003C29CC">
        <w:t xml:space="preserve">ancer </w:t>
      </w:r>
      <w:r w:rsidR="003C29CC">
        <w:t>P</w:t>
      </w:r>
      <w:r w:rsidR="003C29CC" w:rsidRPr="003C29CC">
        <w:t>atients</w:t>
      </w:r>
      <w:r w:rsidR="003C29CC">
        <w:t>, T</w:t>
      </w:r>
      <w:r w:rsidR="00655537">
        <w:t>erminal Pain</w:t>
      </w:r>
      <w:r w:rsidR="003C29CC">
        <w:t xml:space="preserve"> Patients</w:t>
      </w:r>
    </w:p>
    <w:p w:rsidR="003C29CC" w:rsidRPr="003C29CC" w:rsidRDefault="008114BB" w:rsidP="008114BB">
      <w:pPr>
        <w:pStyle w:val="NoSpacing"/>
        <w:ind w:left="720"/>
      </w:pPr>
      <w:r>
        <w:t xml:space="preserve">     </w:t>
      </w:r>
      <w:r w:rsidR="003C29CC">
        <w:t>and Patients that have Supervised Administration of Opioids in a Health Care Setting</w:t>
      </w:r>
    </w:p>
    <w:p w:rsidR="003C29CC" w:rsidRPr="0018007B" w:rsidRDefault="003C29CC" w:rsidP="00B82716">
      <w:pPr>
        <w:pStyle w:val="NoSpacing"/>
        <w:rPr>
          <w:sz w:val="16"/>
          <w:szCs w:val="16"/>
        </w:rPr>
      </w:pPr>
    </w:p>
    <w:p w:rsidR="003C7BC8" w:rsidRPr="00B00E54" w:rsidRDefault="003467E8" w:rsidP="0018007B">
      <w:pPr>
        <w:spacing w:after="0"/>
        <w:rPr>
          <w:sz w:val="20"/>
          <w:szCs w:val="20"/>
        </w:rPr>
      </w:pPr>
      <w:r w:rsidRPr="00020DDE">
        <w:rPr>
          <w:b/>
          <w:sz w:val="24"/>
          <w:szCs w:val="24"/>
        </w:rPr>
        <w:t xml:space="preserve">For </w:t>
      </w:r>
      <w:r w:rsidRPr="00020DDE">
        <w:rPr>
          <w:b/>
          <w:sz w:val="24"/>
          <w:szCs w:val="24"/>
          <w:u w:val="single"/>
        </w:rPr>
        <w:t>ALL</w:t>
      </w:r>
      <w:r w:rsidRPr="00020DDE">
        <w:rPr>
          <w:b/>
          <w:sz w:val="24"/>
          <w:szCs w:val="24"/>
        </w:rPr>
        <w:t xml:space="preserve"> Pain</w:t>
      </w:r>
      <w:r w:rsidR="003C29CC">
        <w:rPr>
          <w:b/>
          <w:sz w:val="24"/>
          <w:szCs w:val="24"/>
        </w:rPr>
        <w:t xml:space="preserve"> Patients</w:t>
      </w:r>
      <w:r w:rsidR="009E3CC7" w:rsidRPr="00B00E54">
        <w:rPr>
          <w:b/>
          <w:sz w:val="20"/>
          <w:szCs w:val="20"/>
        </w:rPr>
        <w:t xml:space="preserve"> </w:t>
      </w:r>
      <w:r w:rsidR="009E3CC7" w:rsidRPr="00B00E54">
        <w:rPr>
          <w:sz w:val="20"/>
          <w:szCs w:val="20"/>
        </w:rPr>
        <w:t>(Acute and Chronic</w:t>
      </w:r>
      <w:r w:rsidR="00820FA7">
        <w:rPr>
          <w:sz w:val="20"/>
          <w:szCs w:val="20"/>
        </w:rPr>
        <w:t>)</w:t>
      </w:r>
    </w:p>
    <w:p w:rsidR="00CB6301" w:rsidRPr="00B03B93" w:rsidRDefault="00C815B8" w:rsidP="0018007B">
      <w:pPr>
        <w:pStyle w:val="ListParagraph"/>
        <w:numPr>
          <w:ilvl w:val="0"/>
          <w:numId w:val="4"/>
        </w:numPr>
        <w:spacing w:after="0"/>
        <w:ind w:left="360"/>
        <w:contextualSpacing w:val="0"/>
        <w:rPr>
          <w:sz w:val="20"/>
          <w:szCs w:val="20"/>
        </w:rPr>
      </w:pPr>
      <w:r>
        <w:rPr>
          <w:sz w:val="20"/>
          <w:szCs w:val="20"/>
        </w:rPr>
        <w:t>D</w:t>
      </w:r>
      <w:r w:rsidRPr="00B03B93">
        <w:rPr>
          <w:sz w:val="20"/>
          <w:szCs w:val="20"/>
        </w:rPr>
        <w:t xml:space="preserve">ocumented </w:t>
      </w:r>
      <w:r w:rsidR="007F6473">
        <w:rPr>
          <w:sz w:val="20"/>
          <w:szCs w:val="20"/>
        </w:rPr>
        <w:t>h</w:t>
      </w:r>
      <w:r w:rsidR="00CB6301" w:rsidRPr="00B03B93">
        <w:rPr>
          <w:sz w:val="20"/>
          <w:szCs w:val="20"/>
        </w:rPr>
        <w:t xml:space="preserve">istory </w:t>
      </w:r>
      <w:r w:rsidR="00B43FBF" w:rsidRPr="00B03B93">
        <w:rPr>
          <w:sz w:val="20"/>
          <w:szCs w:val="20"/>
        </w:rPr>
        <w:t>and</w:t>
      </w:r>
      <w:r w:rsidR="00CB6301" w:rsidRPr="00B03B93">
        <w:rPr>
          <w:sz w:val="20"/>
          <w:szCs w:val="20"/>
        </w:rPr>
        <w:t xml:space="preserve"> physical</w:t>
      </w:r>
      <w:r w:rsidR="009E3CC7" w:rsidRPr="00B03B93">
        <w:rPr>
          <w:sz w:val="20"/>
          <w:szCs w:val="20"/>
        </w:rPr>
        <w:t xml:space="preserve"> </w:t>
      </w:r>
    </w:p>
    <w:p w:rsidR="00CB6301" w:rsidRPr="00B03B93" w:rsidRDefault="00194DA8" w:rsidP="0018007B">
      <w:pPr>
        <w:pStyle w:val="ListParagraph"/>
        <w:numPr>
          <w:ilvl w:val="0"/>
          <w:numId w:val="4"/>
        </w:numPr>
        <w:spacing w:after="0"/>
        <w:ind w:left="36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Complete </w:t>
      </w:r>
      <w:r w:rsidR="009964DA" w:rsidRPr="00B03B93">
        <w:rPr>
          <w:sz w:val="20"/>
          <w:szCs w:val="20"/>
        </w:rPr>
        <w:t>Board</w:t>
      </w:r>
      <w:r w:rsidR="003C29CC">
        <w:rPr>
          <w:sz w:val="20"/>
          <w:szCs w:val="20"/>
        </w:rPr>
        <w:t>-</w:t>
      </w:r>
      <w:r w:rsidR="009964DA" w:rsidRPr="00B03B93">
        <w:rPr>
          <w:sz w:val="20"/>
          <w:szCs w:val="20"/>
        </w:rPr>
        <w:t>approved risk assessment tool</w:t>
      </w:r>
      <w:r>
        <w:rPr>
          <w:sz w:val="20"/>
          <w:szCs w:val="20"/>
        </w:rPr>
        <w:t xml:space="preserve"> to determine patient appropriateness for opioids</w:t>
      </w:r>
    </w:p>
    <w:p w:rsidR="00531A09" w:rsidRDefault="00531A09" w:rsidP="0018007B">
      <w:pPr>
        <w:pStyle w:val="ListParagraph"/>
        <w:numPr>
          <w:ilvl w:val="0"/>
          <w:numId w:val="4"/>
        </w:numPr>
        <w:spacing w:after="0"/>
        <w:ind w:left="360"/>
        <w:contextualSpacing w:val="0"/>
        <w:rPr>
          <w:sz w:val="20"/>
          <w:szCs w:val="20"/>
        </w:rPr>
      </w:pPr>
      <w:r w:rsidRPr="00A17268">
        <w:rPr>
          <w:sz w:val="20"/>
          <w:szCs w:val="20"/>
        </w:rPr>
        <w:t>Document opioid prescription and rationale</w:t>
      </w:r>
    </w:p>
    <w:p w:rsidR="00592774" w:rsidRPr="00B03B93" w:rsidRDefault="00A919DD" w:rsidP="0018007B">
      <w:pPr>
        <w:pStyle w:val="ListParagraph"/>
        <w:numPr>
          <w:ilvl w:val="0"/>
          <w:numId w:val="4"/>
        </w:numPr>
        <w:spacing w:after="0"/>
        <w:ind w:left="360"/>
        <w:contextualSpacing w:val="0"/>
        <w:rPr>
          <w:sz w:val="20"/>
          <w:szCs w:val="20"/>
        </w:rPr>
      </w:pPr>
      <w:r w:rsidRPr="00B03B93">
        <w:rPr>
          <w:sz w:val="20"/>
          <w:szCs w:val="20"/>
        </w:rPr>
        <w:t>Treatment Plan</w:t>
      </w:r>
      <w:r w:rsidR="00592774" w:rsidRPr="00B03B93">
        <w:rPr>
          <w:sz w:val="20"/>
          <w:szCs w:val="20"/>
        </w:rPr>
        <w:t xml:space="preserve"> that includ</w:t>
      </w:r>
      <w:r w:rsidR="00AC69EC">
        <w:rPr>
          <w:sz w:val="20"/>
          <w:szCs w:val="20"/>
        </w:rPr>
        <w:t>es</w:t>
      </w:r>
      <w:r w:rsidR="00592774" w:rsidRPr="00B03B93">
        <w:rPr>
          <w:sz w:val="20"/>
          <w:szCs w:val="20"/>
        </w:rPr>
        <w:t xml:space="preserve"> consideration of </w:t>
      </w:r>
      <w:r w:rsidR="00AC69EC">
        <w:rPr>
          <w:sz w:val="20"/>
          <w:szCs w:val="20"/>
        </w:rPr>
        <w:t xml:space="preserve">nonpharmacological modalities and </w:t>
      </w:r>
      <w:r w:rsidR="00592774" w:rsidRPr="00B03B93">
        <w:rPr>
          <w:sz w:val="20"/>
          <w:szCs w:val="20"/>
        </w:rPr>
        <w:t>non-opioid options for pain</w:t>
      </w:r>
    </w:p>
    <w:p w:rsidR="00531A09" w:rsidRDefault="00531A09" w:rsidP="0018007B">
      <w:pPr>
        <w:pStyle w:val="ListParagraph"/>
        <w:numPr>
          <w:ilvl w:val="0"/>
          <w:numId w:val="4"/>
        </w:numPr>
        <w:spacing w:after="0"/>
        <w:ind w:left="360"/>
        <w:contextualSpacing w:val="0"/>
        <w:rPr>
          <w:sz w:val="20"/>
          <w:szCs w:val="20"/>
        </w:rPr>
      </w:pPr>
      <w:r>
        <w:rPr>
          <w:sz w:val="20"/>
          <w:szCs w:val="20"/>
        </w:rPr>
        <w:t>Informed C</w:t>
      </w:r>
      <w:r w:rsidRPr="00B03B93">
        <w:rPr>
          <w:sz w:val="20"/>
          <w:szCs w:val="20"/>
        </w:rPr>
        <w:t xml:space="preserve">onsent </w:t>
      </w:r>
      <w:r>
        <w:rPr>
          <w:sz w:val="20"/>
          <w:szCs w:val="20"/>
        </w:rPr>
        <w:t xml:space="preserve">outlining </w:t>
      </w:r>
      <w:r w:rsidRPr="00B03B93">
        <w:rPr>
          <w:sz w:val="20"/>
          <w:szCs w:val="20"/>
        </w:rPr>
        <w:t>risk</w:t>
      </w:r>
      <w:r>
        <w:rPr>
          <w:sz w:val="20"/>
          <w:szCs w:val="20"/>
        </w:rPr>
        <w:t>s and benefits of opioid use (can be combined with treatment plan document)</w:t>
      </w:r>
    </w:p>
    <w:p w:rsidR="00D76DE9" w:rsidRPr="00D76DE9" w:rsidRDefault="00B03B93" w:rsidP="0018007B">
      <w:pPr>
        <w:pStyle w:val="ListParagraph"/>
        <w:numPr>
          <w:ilvl w:val="0"/>
          <w:numId w:val="4"/>
        </w:numPr>
        <w:spacing w:after="0"/>
        <w:ind w:left="360"/>
        <w:contextualSpacing w:val="0"/>
        <w:rPr>
          <w:i/>
          <w:sz w:val="18"/>
          <w:szCs w:val="18"/>
        </w:rPr>
      </w:pPr>
      <w:r w:rsidRPr="00B03B93">
        <w:rPr>
          <w:sz w:val="20"/>
          <w:szCs w:val="20"/>
        </w:rPr>
        <w:t>Query</w:t>
      </w:r>
      <w:r w:rsidR="00655537">
        <w:rPr>
          <w:sz w:val="20"/>
          <w:szCs w:val="20"/>
        </w:rPr>
        <w:t>* the NH PDMP</w:t>
      </w:r>
      <w:r w:rsidRPr="00B03B93">
        <w:rPr>
          <w:sz w:val="20"/>
          <w:szCs w:val="20"/>
        </w:rPr>
        <w:t xml:space="preserve"> (Prescription Drug Mon</w:t>
      </w:r>
      <w:r w:rsidR="00655537">
        <w:rPr>
          <w:sz w:val="20"/>
          <w:szCs w:val="20"/>
        </w:rPr>
        <w:t xml:space="preserve">itoring Program) by licensee or delegate </w:t>
      </w:r>
      <w:r w:rsidR="00D76DE9">
        <w:rPr>
          <w:sz w:val="20"/>
          <w:szCs w:val="20"/>
        </w:rPr>
        <w:t xml:space="preserve">for initial </w:t>
      </w:r>
      <w:r w:rsidRPr="00B03B93">
        <w:rPr>
          <w:sz w:val="20"/>
          <w:szCs w:val="20"/>
        </w:rPr>
        <w:t xml:space="preserve">script </w:t>
      </w:r>
    </w:p>
    <w:p w:rsidR="00D04595" w:rsidRPr="00D04595" w:rsidRDefault="00D04595" w:rsidP="00D04595">
      <w:pPr>
        <w:spacing w:after="60"/>
        <w:rPr>
          <w:i/>
          <w:sz w:val="18"/>
          <w:szCs w:val="18"/>
        </w:rPr>
      </w:pPr>
      <w:r w:rsidRPr="00D04595">
        <w:rPr>
          <w:bCs/>
          <w:i/>
          <w:sz w:val="18"/>
          <w:szCs w:val="18"/>
        </w:rPr>
        <w:t xml:space="preserve">     </w:t>
      </w:r>
      <w:r>
        <w:rPr>
          <w:bCs/>
          <w:i/>
          <w:sz w:val="18"/>
          <w:szCs w:val="18"/>
        </w:rPr>
        <w:t xml:space="preserve">    </w:t>
      </w:r>
      <w:r w:rsidRPr="00D04595">
        <w:rPr>
          <w:bCs/>
          <w:i/>
          <w:sz w:val="18"/>
          <w:szCs w:val="18"/>
        </w:rPr>
        <w:t xml:space="preserve">The prescriber/delegate may print the PDMP query results for review and may reference the report in the client chart. </w:t>
      </w:r>
    </w:p>
    <w:p w:rsidR="006C50A6" w:rsidRDefault="00B03B93" w:rsidP="006C50A6">
      <w:pPr>
        <w:spacing w:after="0"/>
        <w:ind w:left="360"/>
        <w:rPr>
          <w:sz w:val="18"/>
          <w:szCs w:val="18"/>
        </w:rPr>
      </w:pPr>
      <w:r w:rsidRPr="004B70D3">
        <w:rPr>
          <w:sz w:val="18"/>
          <w:szCs w:val="18"/>
        </w:rPr>
        <w:t xml:space="preserve">*Exceptions for PDMP use: Controlled Rx </w:t>
      </w:r>
      <w:r w:rsidRPr="00531A09">
        <w:rPr>
          <w:i/>
          <w:sz w:val="18"/>
          <w:szCs w:val="18"/>
          <w:u w:val="single"/>
        </w:rPr>
        <w:t>administered</w:t>
      </w:r>
      <w:r w:rsidRPr="00531A09">
        <w:rPr>
          <w:sz w:val="18"/>
          <w:szCs w:val="18"/>
          <w:u w:val="single"/>
        </w:rPr>
        <w:t xml:space="preserve"> </w:t>
      </w:r>
      <w:r w:rsidRPr="004B70D3">
        <w:rPr>
          <w:sz w:val="18"/>
          <w:szCs w:val="18"/>
        </w:rPr>
        <w:t>to patient; PDMP inacce</w:t>
      </w:r>
      <w:r w:rsidR="000C6DC2">
        <w:rPr>
          <w:sz w:val="18"/>
          <w:szCs w:val="18"/>
        </w:rPr>
        <w:t>ssible due to el</w:t>
      </w:r>
      <w:r w:rsidR="006C50A6">
        <w:rPr>
          <w:sz w:val="18"/>
          <w:szCs w:val="18"/>
        </w:rPr>
        <w:t>ectronic issue;</w:t>
      </w:r>
      <w:bookmarkStart w:id="0" w:name="_GoBack"/>
      <w:bookmarkEnd w:id="0"/>
    </w:p>
    <w:p w:rsidR="00B03B93" w:rsidRPr="004B70D3" w:rsidRDefault="006C50A6" w:rsidP="000C6DC2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B03B93" w:rsidRPr="004B70D3">
        <w:rPr>
          <w:sz w:val="18"/>
          <w:szCs w:val="18"/>
        </w:rPr>
        <w:t>or ED with high patient volume such that querying the PDMP would create a delay in care.</w:t>
      </w:r>
    </w:p>
    <w:p w:rsidR="003467E8" w:rsidRPr="00020DDE" w:rsidRDefault="003467E8" w:rsidP="0018007B">
      <w:pPr>
        <w:spacing w:after="0"/>
        <w:rPr>
          <w:b/>
          <w:sz w:val="24"/>
          <w:szCs w:val="24"/>
        </w:rPr>
      </w:pPr>
      <w:r w:rsidRPr="00020DDE">
        <w:rPr>
          <w:b/>
          <w:sz w:val="24"/>
          <w:szCs w:val="24"/>
        </w:rPr>
        <w:t>Acute Pain</w:t>
      </w:r>
      <w:r w:rsidR="003C29CC">
        <w:rPr>
          <w:b/>
          <w:sz w:val="24"/>
          <w:szCs w:val="24"/>
        </w:rPr>
        <w:t xml:space="preserve"> Patients (in addition to the items above </w:t>
      </w:r>
      <w:r w:rsidR="00FC0BF8">
        <w:rPr>
          <w:b/>
          <w:sz w:val="24"/>
          <w:szCs w:val="24"/>
        </w:rPr>
        <w:t>for</w:t>
      </w:r>
      <w:r w:rsidR="003C29CC">
        <w:rPr>
          <w:b/>
          <w:sz w:val="24"/>
          <w:szCs w:val="24"/>
        </w:rPr>
        <w:t xml:space="preserve"> ALL Pain Patients)</w:t>
      </w:r>
    </w:p>
    <w:p w:rsidR="00531A09" w:rsidRDefault="00531A09" w:rsidP="000C6DC2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>
        <w:rPr>
          <w:sz w:val="20"/>
          <w:szCs w:val="20"/>
        </w:rPr>
        <w:t>Ensure patient has been provided information on:</w:t>
      </w:r>
    </w:p>
    <w:p w:rsidR="00531A09" w:rsidRDefault="00531A09" w:rsidP="000C6DC2">
      <w:pPr>
        <w:pStyle w:val="ListParagraph"/>
        <w:numPr>
          <w:ilvl w:val="0"/>
          <w:numId w:val="6"/>
        </w:numPr>
        <w:ind w:left="720"/>
        <w:rPr>
          <w:sz w:val="20"/>
          <w:szCs w:val="20"/>
        </w:rPr>
      </w:pPr>
      <w:r>
        <w:rPr>
          <w:sz w:val="20"/>
          <w:szCs w:val="20"/>
        </w:rPr>
        <w:t>Risk of side effects, including addiction and overdose resulting in death</w:t>
      </w:r>
    </w:p>
    <w:p w:rsidR="00531A09" w:rsidRDefault="00531A09" w:rsidP="000C6DC2">
      <w:pPr>
        <w:pStyle w:val="ListParagraph"/>
        <w:numPr>
          <w:ilvl w:val="0"/>
          <w:numId w:val="6"/>
        </w:numPr>
        <w:ind w:left="720"/>
        <w:rPr>
          <w:sz w:val="20"/>
          <w:szCs w:val="20"/>
        </w:rPr>
      </w:pPr>
      <w:r>
        <w:rPr>
          <w:sz w:val="20"/>
          <w:szCs w:val="20"/>
        </w:rPr>
        <w:t>Risks of keeping unused medications</w:t>
      </w:r>
    </w:p>
    <w:p w:rsidR="00531A09" w:rsidRDefault="00531A09" w:rsidP="000C6DC2">
      <w:pPr>
        <w:pStyle w:val="ListParagraph"/>
        <w:numPr>
          <w:ilvl w:val="0"/>
          <w:numId w:val="6"/>
        </w:numPr>
        <w:ind w:left="720"/>
        <w:rPr>
          <w:sz w:val="20"/>
          <w:szCs w:val="20"/>
        </w:rPr>
      </w:pPr>
      <w:r>
        <w:rPr>
          <w:sz w:val="20"/>
          <w:szCs w:val="20"/>
        </w:rPr>
        <w:t>Options for safely securing and disposing of unused medication</w:t>
      </w:r>
    </w:p>
    <w:p w:rsidR="00531A09" w:rsidRPr="00A17268" w:rsidRDefault="00531A09" w:rsidP="000C6DC2">
      <w:pPr>
        <w:pStyle w:val="ListParagraph"/>
        <w:numPr>
          <w:ilvl w:val="0"/>
          <w:numId w:val="6"/>
        </w:numPr>
        <w:ind w:left="720"/>
        <w:rPr>
          <w:sz w:val="20"/>
          <w:szCs w:val="20"/>
        </w:rPr>
      </w:pPr>
      <w:r>
        <w:rPr>
          <w:sz w:val="20"/>
          <w:szCs w:val="20"/>
        </w:rPr>
        <w:t>Danger in operating a motor vehicle or heavy machinery</w:t>
      </w:r>
    </w:p>
    <w:p w:rsidR="00531A09" w:rsidRPr="00531A09" w:rsidRDefault="000C6DC2" w:rsidP="000C6DC2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Consider </w:t>
      </w:r>
      <w:r w:rsidR="00531A09" w:rsidRPr="00531A09">
        <w:rPr>
          <w:sz w:val="20"/>
          <w:szCs w:val="20"/>
        </w:rPr>
        <w:t>patient’s risk for opioid misuse, abuse, diversion and prescribe the lowest effectiv</w:t>
      </w:r>
      <w:r>
        <w:rPr>
          <w:sz w:val="20"/>
          <w:szCs w:val="20"/>
        </w:rPr>
        <w:t>e dose for shortest duration.</w:t>
      </w:r>
    </w:p>
    <w:p w:rsidR="003467E8" w:rsidRPr="00A17268" w:rsidRDefault="00531A09" w:rsidP="000C6DC2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>
        <w:rPr>
          <w:sz w:val="20"/>
          <w:szCs w:val="20"/>
        </w:rPr>
        <w:t>Prescriptions from Emergency Departments</w:t>
      </w:r>
      <w:r w:rsidR="00D76DE9">
        <w:rPr>
          <w:sz w:val="20"/>
          <w:szCs w:val="20"/>
        </w:rPr>
        <w:t>/Urgent Care/Walk-In Care: In most cases</w:t>
      </w:r>
      <w:r w:rsidR="0018007B">
        <w:rPr>
          <w:sz w:val="20"/>
          <w:szCs w:val="20"/>
        </w:rPr>
        <w:t>,</w:t>
      </w:r>
      <w:r w:rsidR="00D76DE9">
        <w:rPr>
          <w:sz w:val="20"/>
          <w:szCs w:val="20"/>
        </w:rPr>
        <w:t xml:space="preserve"> a prescription of 3 or fewer days is sufficient</w:t>
      </w:r>
      <w:r w:rsidR="0018007B">
        <w:rPr>
          <w:sz w:val="20"/>
          <w:szCs w:val="20"/>
        </w:rPr>
        <w:t>,</w:t>
      </w:r>
      <w:r w:rsidR="00D76DE9">
        <w:rPr>
          <w:sz w:val="20"/>
          <w:szCs w:val="20"/>
        </w:rPr>
        <w:t xml:space="preserve"> but no more than 7 days. If a prescription is necessary to exceed the board approved limit, the medical condition and rationale must be documented. </w:t>
      </w:r>
    </w:p>
    <w:p w:rsidR="00D76DE9" w:rsidRPr="00D76DE9" w:rsidRDefault="00D3637D" w:rsidP="000C6DC2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D76DE9">
        <w:rPr>
          <w:sz w:val="20"/>
          <w:szCs w:val="20"/>
        </w:rPr>
        <w:t>For unresolved acute pain where c</w:t>
      </w:r>
      <w:r w:rsidR="00B43FBF" w:rsidRPr="00D76DE9">
        <w:rPr>
          <w:sz w:val="20"/>
          <w:szCs w:val="20"/>
        </w:rPr>
        <w:t xml:space="preserve">ontinuity </w:t>
      </w:r>
      <w:r w:rsidR="009964DA" w:rsidRPr="00D76DE9">
        <w:rPr>
          <w:sz w:val="20"/>
          <w:szCs w:val="20"/>
        </w:rPr>
        <w:t xml:space="preserve">of </w:t>
      </w:r>
      <w:r w:rsidRPr="00D76DE9">
        <w:rPr>
          <w:sz w:val="20"/>
          <w:szCs w:val="20"/>
        </w:rPr>
        <w:t>c</w:t>
      </w:r>
      <w:r w:rsidR="009964DA" w:rsidRPr="00D76DE9">
        <w:rPr>
          <w:sz w:val="20"/>
          <w:szCs w:val="20"/>
        </w:rPr>
        <w:t>are</w:t>
      </w:r>
      <w:r w:rsidRPr="00D76DE9">
        <w:rPr>
          <w:sz w:val="20"/>
          <w:szCs w:val="20"/>
        </w:rPr>
        <w:t xml:space="preserve"> is anticipated</w:t>
      </w:r>
      <w:r w:rsidR="009964DA" w:rsidRPr="00D76DE9">
        <w:rPr>
          <w:sz w:val="20"/>
          <w:szCs w:val="20"/>
        </w:rPr>
        <w:t xml:space="preserve">: </w:t>
      </w:r>
      <w:r w:rsidRPr="00D76DE9">
        <w:rPr>
          <w:sz w:val="20"/>
          <w:szCs w:val="20"/>
        </w:rPr>
        <w:t>No obligation to prescribe opioids for more than 30 days</w:t>
      </w:r>
      <w:r w:rsidR="00962394" w:rsidRPr="00D76DE9">
        <w:rPr>
          <w:sz w:val="20"/>
          <w:szCs w:val="20"/>
        </w:rPr>
        <w:t xml:space="preserve">; however, </w:t>
      </w:r>
      <w:r w:rsidR="00690E70" w:rsidRPr="00D76DE9">
        <w:rPr>
          <w:sz w:val="20"/>
          <w:szCs w:val="20"/>
        </w:rPr>
        <w:t xml:space="preserve">if unresolved acute pain persists beyond 30 days, </w:t>
      </w:r>
      <w:r w:rsidR="009964DA" w:rsidRPr="00D76DE9">
        <w:rPr>
          <w:sz w:val="20"/>
          <w:szCs w:val="20"/>
        </w:rPr>
        <w:t>requires</w:t>
      </w:r>
      <w:r w:rsidR="00B43FBF" w:rsidRPr="00D76DE9">
        <w:rPr>
          <w:sz w:val="20"/>
          <w:szCs w:val="20"/>
        </w:rPr>
        <w:t xml:space="preserve"> </w:t>
      </w:r>
      <w:r w:rsidR="00962394" w:rsidRPr="00D76DE9">
        <w:rPr>
          <w:sz w:val="20"/>
          <w:szCs w:val="20"/>
        </w:rPr>
        <w:t xml:space="preserve">an </w:t>
      </w:r>
      <w:r w:rsidR="00B43FBF" w:rsidRPr="00D76DE9">
        <w:rPr>
          <w:sz w:val="20"/>
          <w:szCs w:val="20"/>
        </w:rPr>
        <w:t>in-office, follow</w:t>
      </w:r>
      <w:r w:rsidR="004A3E47" w:rsidRPr="00D76DE9">
        <w:rPr>
          <w:sz w:val="20"/>
          <w:szCs w:val="20"/>
        </w:rPr>
        <w:t>-</w:t>
      </w:r>
      <w:r w:rsidR="00B43FBF" w:rsidRPr="00D76DE9">
        <w:rPr>
          <w:sz w:val="20"/>
          <w:szCs w:val="20"/>
        </w:rPr>
        <w:t>up appointment</w:t>
      </w:r>
      <w:r w:rsidR="00634CD8" w:rsidRPr="00D76DE9">
        <w:rPr>
          <w:sz w:val="20"/>
          <w:szCs w:val="20"/>
        </w:rPr>
        <w:t xml:space="preserve"> </w:t>
      </w:r>
      <w:r w:rsidR="00690E70" w:rsidRPr="00D76DE9">
        <w:rPr>
          <w:sz w:val="20"/>
          <w:szCs w:val="20"/>
        </w:rPr>
        <w:t>prior to issuing a new script.</w:t>
      </w:r>
    </w:p>
    <w:p w:rsidR="003467E8" w:rsidRPr="00D76DE9" w:rsidRDefault="003467E8" w:rsidP="0018007B">
      <w:pPr>
        <w:spacing w:after="0"/>
        <w:rPr>
          <w:b/>
          <w:sz w:val="24"/>
          <w:szCs w:val="24"/>
        </w:rPr>
      </w:pPr>
      <w:r w:rsidRPr="00D76DE9">
        <w:rPr>
          <w:b/>
          <w:sz w:val="24"/>
          <w:szCs w:val="24"/>
        </w:rPr>
        <w:t>Chronic Pain</w:t>
      </w:r>
      <w:r w:rsidR="003C29CC" w:rsidRPr="00D76DE9">
        <w:rPr>
          <w:b/>
          <w:sz w:val="24"/>
          <w:szCs w:val="24"/>
        </w:rPr>
        <w:t xml:space="preserve"> Patients (in addition to the items above </w:t>
      </w:r>
      <w:r w:rsidR="00FC0BF8">
        <w:rPr>
          <w:b/>
          <w:sz w:val="24"/>
          <w:szCs w:val="24"/>
        </w:rPr>
        <w:t>for</w:t>
      </w:r>
      <w:r w:rsidR="003C29CC" w:rsidRPr="00D76DE9">
        <w:rPr>
          <w:b/>
          <w:sz w:val="24"/>
          <w:szCs w:val="24"/>
        </w:rPr>
        <w:t xml:space="preserve"> ALL Pain Patients)</w:t>
      </w:r>
    </w:p>
    <w:p w:rsidR="00B82716" w:rsidRDefault="00B82716" w:rsidP="0018007B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>
        <w:rPr>
          <w:sz w:val="20"/>
          <w:szCs w:val="20"/>
        </w:rPr>
        <w:t>Prescribe for the lowest effective dose for a limited duration</w:t>
      </w:r>
    </w:p>
    <w:p w:rsidR="00531A09" w:rsidRDefault="00531A09" w:rsidP="0018007B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>
        <w:rPr>
          <w:sz w:val="20"/>
          <w:szCs w:val="20"/>
        </w:rPr>
        <w:t>Treatment Plan, includes but not limited to:</w:t>
      </w:r>
    </w:p>
    <w:p w:rsidR="00C655D3" w:rsidRDefault="00C655D3" w:rsidP="0018007B">
      <w:pPr>
        <w:pStyle w:val="ListParagraph"/>
        <w:numPr>
          <w:ilvl w:val="0"/>
          <w:numId w:val="6"/>
        </w:numPr>
        <w:ind w:left="720"/>
        <w:rPr>
          <w:sz w:val="20"/>
          <w:szCs w:val="20"/>
        </w:rPr>
        <w:sectPr w:rsidR="00C655D3" w:rsidSect="00BB3CDD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 w:code="1"/>
          <w:pgMar w:top="720" w:right="1080" w:bottom="720" w:left="1080" w:header="432" w:footer="432" w:gutter="0"/>
          <w:cols w:space="720"/>
          <w:docGrid w:linePitch="360"/>
        </w:sectPr>
      </w:pPr>
    </w:p>
    <w:p w:rsidR="00531A09" w:rsidRDefault="00531A09" w:rsidP="0018007B">
      <w:pPr>
        <w:pStyle w:val="ListParagraph"/>
        <w:numPr>
          <w:ilvl w:val="0"/>
          <w:numId w:val="6"/>
        </w:numPr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>Goals of treatment in terms of pain management</w:t>
      </w:r>
    </w:p>
    <w:p w:rsidR="00531A09" w:rsidRDefault="00531A09" w:rsidP="0018007B">
      <w:pPr>
        <w:pStyle w:val="ListParagraph"/>
        <w:numPr>
          <w:ilvl w:val="0"/>
          <w:numId w:val="6"/>
        </w:numPr>
        <w:ind w:left="720"/>
        <w:rPr>
          <w:sz w:val="20"/>
          <w:szCs w:val="20"/>
        </w:rPr>
      </w:pPr>
      <w:r>
        <w:rPr>
          <w:sz w:val="20"/>
          <w:szCs w:val="20"/>
        </w:rPr>
        <w:t>Restoration of function</w:t>
      </w:r>
    </w:p>
    <w:p w:rsidR="00531A09" w:rsidRDefault="00531A09" w:rsidP="0018007B">
      <w:pPr>
        <w:pStyle w:val="ListParagraph"/>
        <w:numPr>
          <w:ilvl w:val="0"/>
          <w:numId w:val="6"/>
        </w:numPr>
        <w:ind w:left="720"/>
        <w:rPr>
          <w:sz w:val="20"/>
          <w:szCs w:val="20"/>
        </w:rPr>
      </w:pPr>
      <w:r>
        <w:rPr>
          <w:sz w:val="20"/>
          <w:szCs w:val="20"/>
        </w:rPr>
        <w:t>Safety</w:t>
      </w:r>
    </w:p>
    <w:p w:rsidR="00531A09" w:rsidRDefault="00531A09" w:rsidP="0018007B">
      <w:pPr>
        <w:pStyle w:val="ListParagraph"/>
        <w:numPr>
          <w:ilvl w:val="0"/>
          <w:numId w:val="6"/>
        </w:numPr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>Time course of treatment</w:t>
      </w:r>
    </w:p>
    <w:p w:rsidR="00D76DE9" w:rsidRPr="00D76DE9" w:rsidRDefault="00531A09" w:rsidP="00B1634E">
      <w:pPr>
        <w:pStyle w:val="ListParagraph"/>
        <w:numPr>
          <w:ilvl w:val="0"/>
          <w:numId w:val="6"/>
        </w:numPr>
        <w:spacing w:after="0" w:line="240" w:lineRule="auto"/>
        <w:ind w:left="720"/>
        <w:contextualSpacing w:val="0"/>
        <w:rPr>
          <w:sz w:val="20"/>
          <w:szCs w:val="20"/>
        </w:rPr>
      </w:pPr>
      <w:r>
        <w:rPr>
          <w:sz w:val="20"/>
          <w:szCs w:val="20"/>
        </w:rPr>
        <w:t>Consideration of non-pharmacological modalities and non-opioid therapy</w:t>
      </w:r>
    </w:p>
    <w:p w:rsidR="00C655D3" w:rsidRDefault="00C655D3" w:rsidP="0018007B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  <w:sectPr w:rsidR="00C655D3" w:rsidSect="00C655D3">
          <w:type w:val="continuous"/>
          <w:pgSz w:w="12240" w:h="15840" w:code="1"/>
          <w:pgMar w:top="720" w:right="1080" w:bottom="720" w:left="1080" w:header="432" w:footer="432" w:gutter="0"/>
          <w:cols w:num="2" w:space="180"/>
          <w:docGrid w:linePitch="360"/>
        </w:sectPr>
      </w:pPr>
    </w:p>
    <w:p w:rsidR="00022A44" w:rsidRDefault="005D2325" w:rsidP="0018007B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Written </w:t>
      </w:r>
      <w:r w:rsidR="00ED5E54" w:rsidRPr="00B0658B">
        <w:rPr>
          <w:sz w:val="20"/>
          <w:szCs w:val="20"/>
        </w:rPr>
        <w:t>Treatment Agreement</w:t>
      </w:r>
      <w:r w:rsidR="004D07AC" w:rsidRPr="00B0658B">
        <w:rPr>
          <w:sz w:val="20"/>
          <w:szCs w:val="20"/>
        </w:rPr>
        <w:t>**</w:t>
      </w:r>
      <w:r w:rsidR="00B82716">
        <w:rPr>
          <w:sz w:val="20"/>
          <w:szCs w:val="20"/>
        </w:rPr>
        <w:t xml:space="preserve"> The treatment agreement shall address, at a minimum:</w:t>
      </w:r>
    </w:p>
    <w:p w:rsidR="00B82716" w:rsidRDefault="00B82716" w:rsidP="0018007B">
      <w:pPr>
        <w:pStyle w:val="ListParagraph"/>
        <w:numPr>
          <w:ilvl w:val="0"/>
          <w:numId w:val="6"/>
        </w:numPr>
        <w:ind w:left="720"/>
        <w:rPr>
          <w:sz w:val="20"/>
          <w:szCs w:val="20"/>
        </w:rPr>
      </w:pPr>
      <w:r>
        <w:rPr>
          <w:sz w:val="20"/>
          <w:szCs w:val="20"/>
        </w:rPr>
        <w:t>Requirement for safe medication use and storage</w:t>
      </w:r>
    </w:p>
    <w:p w:rsidR="00B82716" w:rsidRDefault="00B82716" w:rsidP="0018007B">
      <w:pPr>
        <w:pStyle w:val="ListParagraph"/>
        <w:numPr>
          <w:ilvl w:val="0"/>
          <w:numId w:val="6"/>
        </w:numPr>
        <w:ind w:left="720"/>
        <w:rPr>
          <w:sz w:val="20"/>
          <w:szCs w:val="20"/>
        </w:rPr>
      </w:pPr>
      <w:r>
        <w:rPr>
          <w:sz w:val="20"/>
          <w:szCs w:val="20"/>
        </w:rPr>
        <w:t>Requirement for obtaining opioids from only one prescriber or practice</w:t>
      </w:r>
    </w:p>
    <w:p w:rsidR="00B82716" w:rsidRDefault="00B82716" w:rsidP="0018007B">
      <w:pPr>
        <w:pStyle w:val="ListParagraph"/>
        <w:numPr>
          <w:ilvl w:val="0"/>
          <w:numId w:val="6"/>
        </w:numPr>
        <w:ind w:left="720"/>
        <w:rPr>
          <w:sz w:val="20"/>
          <w:szCs w:val="20"/>
        </w:rPr>
      </w:pPr>
      <w:r>
        <w:rPr>
          <w:sz w:val="20"/>
          <w:szCs w:val="20"/>
        </w:rPr>
        <w:t>Consent to periodic and random drug testing</w:t>
      </w:r>
    </w:p>
    <w:p w:rsidR="00B82716" w:rsidRDefault="00B82716" w:rsidP="0018007B">
      <w:pPr>
        <w:pStyle w:val="ListParagraph"/>
        <w:numPr>
          <w:ilvl w:val="0"/>
          <w:numId w:val="6"/>
        </w:numPr>
        <w:ind w:left="720"/>
        <w:rPr>
          <w:sz w:val="20"/>
          <w:szCs w:val="20"/>
        </w:rPr>
      </w:pPr>
      <w:r>
        <w:rPr>
          <w:sz w:val="20"/>
          <w:szCs w:val="20"/>
        </w:rPr>
        <w:t>Prescriber’s responsibility to be available or to have clinical coverage</w:t>
      </w:r>
    </w:p>
    <w:p w:rsidR="00B82716" w:rsidRPr="00B82716" w:rsidRDefault="002A51BD" w:rsidP="0018007B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B0658B">
        <w:rPr>
          <w:sz w:val="20"/>
          <w:szCs w:val="20"/>
        </w:rPr>
        <w:t>Consideration of consultation</w:t>
      </w:r>
      <w:r w:rsidR="00B82716">
        <w:rPr>
          <w:sz w:val="20"/>
          <w:szCs w:val="20"/>
        </w:rPr>
        <w:t xml:space="preserve"> with an appropriate specialist</w:t>
      </w:r>
      <w:r w:rsidRPr="00B82716">
        <w:rPr>
          <w:sz w:val="20"/>
          <w:szCs w:val="20"/>
        </w:rPr>
        <w:t xml:space="preserve"> for patients</w:t>
      </w:r>
      <w:r w:rsidR="00B82716" w:rsidRPr="00B82716">
        <w:rPr>
          <w:sz w:val="20"/>
          <w:szCs w:val="20"/>
        </w:rPr>
        <w:t>:</w:t>
      </w:r>
    </w:p>
    <w:p w:rsidR="002A51BD" w:rsidRDefault="00B82716" w:rsidP="0018007B">
      <w:pPr>
        <w:pStyle w:val="ListParagraph"/>
        <w:numPr>
          <w:ilvl w:val="0"/>
          <w:numId w:val="6"/>
        </w:numPr>
        <w:ind w:left="720"/>
        <w:rPr>
          <w:sz w:val="20"/>
          <w:szCs w:val="20"/>
        </w:rPr>
      </w:pPr>
      <w:r>
        <w:rPr>
          <w:sz w:val="20"/>
          <w:szCs w:val="20"/>
        </w:rPr>
        <w:t>R</w:t>
      </w:r>
      <w:r w:rsidR="002A51BD" w:rsidRPr="00B82716">
        <w:rPr>
          <w:sz w:val="20"/>
          <w:szCs w:val="20"/>
        </w:rPr>
        <w:t>eceiving 100mg morphine equivalent daily dose &gt; 90 days</w:t>
      </w:r>
      <w:r>
        <w:rPr>
          <w:sz w:val="20"/>
          <w:szCs w:val="20"/>
        </w:rPr>
        <w:t>;</w:t>
      </w:r>
    </w:p>
    <w:p w:rsidR="00B82716" w:rsidRDefault="00B82716" w:rsidP="0018007B">
      <w:pPr>
        <w:pStyle w:val="ListParagraph"/>
        <w:numPr>
          <w:ilvl w:val="0"/>
          <w:numId w:val="6"/>
        </w:numPr>
        <w:ind w:left="720"/>
        <w:rPr>
          <w:sz w:val="20"/>
          <w:szCs w:val="20"/>
        </w:rPr>
      </w:pPr>
      <w:r>
        <w:rPr>
          <w:sz w:val="20"/>
          <w:szCs w:val="20"/>
        </w:rPr>
        <w:t>At high risk for abuse or addiction; or</w:t>
      </w:r>
    </w:p>
    <w:p w:rsidR="00B82716" w:rsidRPr="00B82716" w:rsidRDefault="00B82716" w:rsidP="0018007B">
      <w:pPr>
        <w:pStyle w:val="ListParagraph"/>
        <w:numPr>
          <w:ilvl w:val="0"/>
          <w:numId w:val="6"/>
        </w:numPr>
        <w:ind w:left="720"/>
        <w:rPr>
          <w:sz w:val="20"/>
          <w:szCs w:val="20"/>
        </w:rPr>
      </w:pPr>
      <w:r>
        <w:rPr>
          <w:sz w:val="20"/>
          <w:szCs w:val="20"/>
        </w:rPr>
        <w:t>Have a co-morbid psychiatric disorder</w:t>
      </w:r>
    </w:p>
    <w:p w:rsidR="00ED5E54" w:rsidRDefault="00B26063" w:rsidP="0018007B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>
        <w:rPr>
          <w:sz w:val="20"/>
          <w:szCs w:val="20"/>
        </w:rPr>
        <w:t>Re</w:t>
      </w:r>
      <w:r w:rsidR="00BF2C42">
        <w:rPr>
          <w:sz w:val="20"/>
          <w:szCs w:val="20"/>
        </w:rPr>
        <w:t>-</w:t>
      </w:r>
      <w:r>
        <w:rPr>
          <w:sz w:val="20"/>
          <w:szCs w:val="20"/>
        </w:rPr>
        <w:t xml:space="preserve">evaluate </w:t>
      </w:r>
      <w:r w:rsidR="00022A44" w:rsidRPr="00B0658B">
        <w:rPr>
          <w:sz w:val="20"/>
          <w:szCs w:val="20"/>
        </w:rPr>
        <w:t>Treatment P</w:t>
      </w:r>
      <w:r w:rsidR="009C258F" w:rsidRPr="00B0658B">
        <w:rPr>
          <w:sz w:val="20"/>
          <w:szCs w:val="20"/>
        </w:rPr>
        <w:t xml:space="preserve">lan </w:t>
      </w:r>
      <w:r>
        <w:rPr>
          <w:sz w:val="20"/>
          <w:szCs w:val="20"/>
        </w:rPr>
        <w:t>and</w:t>
      </w:r>
      <w:r w:rsidR="0032712C" w:rsidRPr="0032712C">
        <w:rPr>
          <w:sz w:val="20"/>
          <w:szCs w:val="20"/>
        </w:rPr>
        <w:t xml:space="preserve"> Re-check PDMP</w:t>
      </w:r>
      <w:r w:rsidR="006442D5">
        <w:rPr>
          <w:sz w:val="20"/>
          <w:szCs w:val="20"/>
        </w:rPr>
        <w:t xml:space="preserve"> at least</w:t>
      </w:r>
      <w:r w:rsidR="0034571E">
        <w:rPr>
          <w:sz w:val="20"/>
          <w:szCs w:val="20"/>
        </w:rPr>
        <w:t xml:space="preserve"> </w:t>
      </w:r>
      <w:r w:rsidR="0034571E" w:rsidRPr="00B543CA">
        <w:rPr>
          <w:sz w:val="20"/>
          <w:szCs w:val="20"/>
        </w:rPr>
        <w:t>twice per year</w:t>
      </w:r>
    </w:p>
    <w:p w:rsidR="00B82716" w:rsidRPr="00B82716" w:rsidRDefault="00B82716" w:rsidP="00A70D0A">
      <w:pPr>
        <w:pStyle w:val="ListParagraph"/>
        <w:numPr>
          <w:ilvl w:val="0"/>
          <w:numId w:val="2"/>
        </w:numPr>
        <w:spacing w:after="60"/>
        <w:ind w:left="360"/>
        <w:contextualSpacing w:val="0"/>
        <w:rPr>
          <w:i/>
          <w:sz w:val="18"/>
          <w:szCs w:val="18"/>
        </w:rPr>
      </w:pPr>
      <w:r w:rsidRPr="00B82716">
        <w:rPr>
          <w:sz w:val="20"/>
          <w:szCs w:val="20"/>
        </w:rPr>
        <w:t>Conduct random and periodic urine drug testing** at least annually for patients taking opioids &gt; 90 days</w:t>
      </w:r>
    </w:p>
    <w:p w:rsidR="00020DDE" w:rsidRDefault="004D07AC" w:rsidP="00A70D0A">
      <w:pPr>
        <w:ind w:firstLine="360"/>
        <w:rPr>
          <w:sz w:val="18"/>
          <w:szCs w:val="18"/>
        </w:rPr>
      </w:pPr>
      <w:r w:rsidRPr="00B00E54">
        <w:rPr>
          <w:sz w:val="18"/>
          <w:szCs w:val="18"/>
        </w:rPr>
        <w:t xml:space="preserve">** </w:t>
      </w:r>
      <w:r w:rsidR="0032712C">
        <w:rPr>
          <w:sz w:val="18"/>
          <w:szCs w:val="18"/>
        </w:rPr>
        <w:t xml:space="preserve">Not required </w:t>
      </w:r>
      <w:r w:rsidRPr="00B00E54">
        <w:rPr>
          <w:sz w:val="18"/>
          <w:szCs w:val="18"/>
        </w:rPr>
        <w:t>for patients with</w:t>
      </w:r>
      <w:r w:rsidR="00F4675B" w:rsidRPr="00B00E54">
        <w:rPr>
          <w:sz w:val="18"/>
          <w:szCs w:val="18"/>
        </w:rPr>
        <w:t xml:space="preserve"> </w:t>
      </w:r>
      <w:r w:rsidRPr="00B00E54">
        <w:rPr>
          <w:sz w:val="18"/>
          <w:szCs w:val="18"/>
        </w:rPr>
        <w:t>episodic intermittent pain receiving no more than 50 dose units in a 3 month period.</w:t>
      </w:r>
    </w:p>
    <w:sectPr w:rsidR="00020DDE" w:rsidSect="00C655D3">
      <w:type w:val="continuous"/>
      <w:pgSz w:w="12240" w:h="15840" w:code="1"/>
      <w:pgMar w:top="72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31" w:rsidRDefault="00324031" w:rsidP="00324031">
      <w:pPr>
        <w:spacing w:after="0" w:line="240" w:lineRule="auto"/>
      </w:pPr>
      <w:r>
        <w:separator/>
      </w:r>
    </w:p>
  </w:endnote>
  <w:endnote w:type="continuationSeparator" w:id="0">
    <w:p w:rsidR="00324031" w:rsidRDefault="00324031" w:rsidP="0032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D3" w:rsidRPr="00C655D3" w:rsidRDefault="00C655D3" w:rsidP="00A70D0A">
    <w:pPr>
      <w:pStyle w:val="Footer"/>
      <w:tabs>
        <w:tab w:val="clear" w:pos="4680"/>
        <w:tab w:val="clear" w:pos="9360"/>
      </w:tabs>
      <w:spacing w:before="60"/>
      <w:rPr>
        <w:i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Pr="00C655D3">
      <w:rPr>
        <w:b/>
        <w:i/>
        <w:sz w:val="18"/>
        <w:szCs w:val="18"/>
      </w:rPr>
      <w:t>NH RSA 318-B:41</w:t>
    </w:r>
    <w:r w:rsidRPr="00C655D3">
      <w:rPr>
        <w:i/>
        <w:sz w:val="18"/>
        <w:szCs w:val="18"/>
      </w:rPr>
      <w:t xml:space="preserve"> Rulemaking for </w:t>
    </w:r>
    <w:r w:rsidR="00A70D0A">
      <w:rPr>
        <w:i/>
        <w:sz w:val="18"/>
        <w:szCs w:val="18"/>
      </w:rPr>
      <w:t xml:space="preserve">Prescribing Controlled Drugs </w:t>
    </w:r>
    <w:r w:rsidR="00A70D0A">
      <w:rPr>
        <w:rFonts w:ascii="Arial" w:hAnsi="Arial" w:cs="Arial"/>
        <w:i/>
        <w:sz w:val="18"/>
        <w:szCs w:val="18"/>
      </w:rPr>
      <w:t>–</w:t>
    </w:r>
    <w:r w:rsidR="00A70D0A">
      <w:rPr>
        <w:i/>
        <w:sz w:val="18"/>
        <w:szCs w:val="18"/>
      </w:rPr>
      <w:t xml:space="preserve"> </w:t>
    </w:r>
    <w:r w:rsidRPr="00C655D3">
      <w:rPr>
        <w:i/>
        <w:sz w:val="18"/>
        <w:szCs w:val="18"/>
      </w:rPr>
      <w:t xml:space="preserve"> </w:t>
    </w:r>
    <w:r w:rsidRPr="00C655D3">
      <w:rPr>
        <w:b/>
        <w:i/>
        <w:sz w:val="18"/>
        <w:szCs w:val="18"/>
      </w:rPr>
      <w:t>Administrative Rules Med 502</w:t>
    </w:r>
    <w:r w:rsidRPr="00C655D3">
      <w:rPr>
        <w:i/>
        <w:sz w:val="18"/>
        <w:szCs w:val="18"/>
      </w:rPr>
      <w:t xml:space="preserve"> Opioid Prescribing</w:t>
    </w:r>
  </w:p>
  <w:p w:rsidR="00C655D3" w:rsidRPr="00C655D3" w:rsidRDefault="00C655D3" w:rsidP="00C655D3">
    <w:pPr>
      <w:pStyle w:val="Footer"/>
      <w:tabs>
        <w:tab w:val="clear" w:pos="4680"/>
        <w:tab w:val="clear" w:pos="9360"/>
      </w:tabs>
      <w:rPr>
        <w:i/>
        <w:sz w:val="18"/>
        <w:szCs w:val="18"/>
      </w:rPr>
    </w:pPr>
    <w:r w:rsidRPr="00C655D3">
      <w:rPr>
        <w:i/>
        <w:sz w:val="18"/>
        <w:szCs w:val="18"/>
      </w:rPr>
      <w:tab/>
    </w:r>
    <w:r w:rsidRPr="00C655D3">
      <w:rPr>
        <w:i/>
        <w:sz w:val="18"/>
        <w:szCs w:val="18"/>
      </w:rPr>
      <w:tab/>
      <w:t>This checklist is provided only as a tool and does not replace the review by licensees of Administrative Rules Med 502.</w:t>
    </w:r>
  </w:p>
  <w:p w:rsidR="00C655D3" w:rsidRPr="000A2287" w:rsidRDefault="000A2287" w:rsidP="00A70D0A">
    <w:pPr>
      <w:pStyle w:val="Footer"/>
      <w:tabs>
        <w:tab w:val="clear" w:pos="4680"/>
        <w:tab w:val="clear" w:pos="9360"/>
        <w:tab w:val="left" w:pos="8756"/>
      </w:tabs>
      <w:rPr>
        <w:i/>
        <w:sz w:val="16"/>
        <w:szCs w:val="16"/>
      </w:rPr>
    </w:pPr>
    <w:r w:rsidRPr="000A2287">
      <w:rPr>
        <w:i/>
        <w:sz w:val="16"/>
        <w:szCs w:val="16"/>
      </w:rPr>
      <w:t>Updated 11-16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31" w:rsidRDefault="00324031" w:rsidP="00324031">
      <w:pPr>
        <w:spacing w:after="0" w:line="240" w:lineRule="auto"/>
      </w:pPr>
      <w:r>
        <w:separator/>
      </w:r>
    </w:p>
  </w:footnote>
  <w:footnote w:type="continuationSeparator" w:id="0">
    <w:p w:rsidR="00324031" w:rsidRDefault="00324031" w:rsidP="0032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31" w:rsidRDefault="002B7F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46159" o:spid="_x0000_s2053" type="#_x0000_t136" style="position:absolute;margin-left:0;margin-top:0;width:439.9pt;height:2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31" w:rsidRPr="0018007B" w:rsidRDefault="0018007B" w:rsidP="00A70D0A">
    <w:pPr>
      <w:pStyle w:val="Header"/>
      <w:spacing w:after="200"/>
      <w:rPr>
        <w:b/>
        <w:sz w:val="28"/>
        <w:szCs w:val="28"/>
      </w:rPr>
    </w:pPr>
    <w:r w:rsidRPr="0018007B">
      <w:rPr>
        <w:b/>
        <w:sz w:val="28"/>
        <w:szCs w:val="28"/>
      </w:rPr>
      <w:t>Checklist for the Prescribing of Opioids for the Management or Treatment of Pain</w:t>
    </w:r>
    <w:r w:rsidR="002B7FA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46160" o:spid="_x0000_s2054" type="#_x0000_t136" style="position:absolute;margin-left:0;margin-top:0;width:439.9pt;height:2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31" w:rsidRDefault="002B7F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46158" o:spid="_x0000_s2052" type="#_x0000_t136" style="position:absolute;margin-left:0;margin-top:0;width:439.9pt;height:2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2B26"/>
    <w:multiLevelType w:val="hybridMultilevel"/>
    <w:tmpl w:val="146A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22707"/>
    <w:multiLevelType w:val="hybridMultilevel"/>
    <w:tmpl w:val="4926C050"/>
    <w:lvl w:ilvl="0" w:tplc="6190564E"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theme="minorBidi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95565"/>
    <w:multiLevelType w:val="hybridMultilevel"/>
    <w:tmpl w:val="8EE21B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8378C"/>
    <w:multiLevelType w:val="hybridMultilevel"/>
    <w:tmpl w:val="5704D11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51A31C06"/>
    <w:multiLevelType w:val="hybridMultilevel"/>
    <w:tmpl w:val="01A45018"/>
    <w:lvl w:ilvl="0" w:tplc="1A50F53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7111CAB"/>
    <w:multiLevelType w:val="hybridMultilevel"/>
    <w:tmpl w:val="20E421A4"/>
    <w:lvl w:ilvl="0" w:tplc="19B244B4"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theme="minorBidi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71"/>
    <w:rsid w:val="0000174E"/>
    <w:rsid w:val="00007152"/>
    <w:rsid w:val="000074AB"/>
    <w:rsid w:val="0001235A"/>
    <w:rsid w:val="00017033"/>
    <w:rsid w:val="00020DDE"/>
    <w:rsid w:val="00022A44"/>
    <w:rsid w:val="0003124C"/>
    <w:rsid w:val="0003309D"/>
    <w:rsid w:val="0004138B"/>
    <w:rsid w:val="00050645"/>
    <w:rsid w:val="00054AFF"/>
    <w:rsid w:val="0005773B"/>
    <w:rsid w:val="000717A8"/>
    <w:rsid w:val="0007339B"/>
    <w:rsid w:val="00075F10"/>
    <w:rsid w:val="00076249"/>
    <w:rsid w:val="000958F2"/>
    <w:rsid w:val="000A2287"/>
    <w:rsid w:val="000A6F6F"/>
    <w:rsid w:val="000B436D"/>
    <w:rsid w:val="000C6DC2"/>
    <w:rsid w:val="000C6F55"/>
    <w:rsid w:val="000D26CC"/>
    <w:rsid w:val="000D4414"/>
    <w:rsid w:val="000D67A0"/>
    <w:rsid w:val="000D6C27"/>
    <w:rsid w:val="000F0052"/>
    <w:rsid w:val="000F135C"/>
    <w:rsid w:val="000F3E0F"/>
    <w:rsid w:val="00101A37"/>
    <w:rsid w:val="00101DED"/>
    <w:rsid w:val="001021EA"/>
    <w:rsid w:val="001030C1"/>
    <w:rsid w:val="00122DCB"/>
    <w:rsid w:val="001241C6"/>
    <w:rsid w:val="00131582"/>
    <w:rsid w:val="00134177"/>
    <w:rsid w:val="001370BF"/>
    <w:rsid w:val="001400FF"/>
    <w:rsid w:val="00140CBA"/>
    <w:rsid w:val="0014383D"/>
    <w:rsid w:val="00144909"/>
    <w:rsid w:val="001535BD"/>
    <w:rsid w:val="001564A0"/>
    <w:rsid w:val="001607BD"/>
    <w:rsid w:val="00163B46"/>
    <w:rsid w:val="00163FEE"/>
    <w:rsid w:val="0018007B"/>
    <w:rsid w:val="001817AC"/>
    <w:rsid w:val="001910D1"/>
    <w:rsid w:val="001938A7"/>
    <w:rsid w:val="00194DA8"/>
    <w:rsid w:val="00196902"/>
    <w:rsid w:val="00196CBE"/>
    <w:rsid w:val="001A019F"/>
    <w:rsid w:val="001A4B7A"/>
    <w:rsid w:val="001B1611"/>
    <w:rsid w:val="001B78C8"/>
    <w:rsid w:val="001C09EE"/>
    <w:rsid w:val="001D4C14"/>
    <w:rsid w:val="001E0851"/>
    <w:rsid w:val="001E0856"/>
    <w:rsid w:val="001E67DA"/>
    <w:rsid w:val="001F16DF"/>
    <w:rsid w:val="001F55E3"/>
    <w:rsid w:val="001F5793"/>
    <w:rsid w:val="002112DB"/>
    <w:rsid w:val="00212EC3"/>
    <w:rsid w:val="00216C0D"/>
    <w:rsid w:val="00217376"/>
    <w:rsid w:val="002219DF"/>
    <w:rsid w:val="0022274C"/>
    <w:rsid w:val="00225402"/>
    <w:rsid w:val="0023055F"/>
    <w:rsid w:val="00241941"/>
    <w:rsid w:val="00247903"/>
    <w:rsid w:val="0025498F"/>
    <w:rsid w:val="00257C30"/>
    <w:rsid w:val="00264878"/>
    <w:rsid w:val="00267212"/>
    <w:rsid w:val="002724EF"/>
    <w:rsid w:val="002759E4"/>
    <w:rsid w:val="00276058"/>
    <w:rsid w:val="00281100"/>
    <w:rsid w:val="0028393E"/>
    <w:rsid w:val="0028399F"/>
    <w:rsid w:val="0028403F"/>
    <w:rsid w:val="00286983"/>
    <w:rsid w:val="002A161C"/>
    <w:rsid w:val="002A51BD"/>
    <w:rsid w:val="002A6590"/>
    <w:rsid w:val="002A7B9B"/>
    <w:rsid w:val="002B069E"/>
    <w:rsid w:val="002B3010"/>
    <w:rsid w:val="002C28FE"/>
    <w:rsid w:val="002C3DF2"/>
    <w:rsid w:val="002C72D2"/>
    <w:rsid w:val="002D0A37"/>
    <w:rsid w:val="002D0F98"/>
    <w:rsid w:val="002E02F2"/>
    <w:rsid w:val="002E05B3"/>
    <w:rsid w:val="002E0A35"/>
    <w:rsid w:val="002E2AC2"/>
    <w:rsid w:val="002E45C7"/>
    <w:rsid w:val="002E5419"/>
    <w:rsid w:val="002E685E"/>
    <w:rsid w:val="002F3356"/>
    <w:rsid w:val="0030377F"/>
    <w:rsid w:val="00303E6B"/>
    <w:rsid w:val="003056D7"/>
    <w:rsid w:val="00305AA7"/>
    <w:rsid w:val="0031309F"/>
    <w:rsid w:val="0032197E"/>
    <w:rsid w:val="00324031"/>
    <w:rsid w:val="0032712C"/>
    <w:rsid w:val="003276A4"/>
    <w:rsid w:val="00332A1C"/>
    <w:rsid w:val="00335A6A"/>
    <w:rsid w:val="003364A8"/>
    <w:rsid w:val="00340622"/>
    <w:rsid w:val="00343A92"/>
    <w:rsid w:val="0034571E"/>
    <w:rsid w:val="003467E8"/>
    <w:rsid w:val="00350C60"/>
    <w:rsid w:val="0035687E"/>
    <w:rsid w:val="003606C9"/>
    <w:rsid w:val="00370F24"/>
    <w:rsid w:val="003725E7"/>
    <w:rsid w:val="00374EDC"/>
    <w:rsid w:val="0038437D"/>
    <w:rsid w:val="003846E6"/>
    <w:rsid w:val="00384EAE"/>
    <w:rsid w:val="00391E3B"/>
    <w:rsid w:val="003929A2"/>
    <w:rsid w:val="003A045F"/>
    <w:rsid w:val="003A0C3A"/>
    <w:rsid w:val="003B3EED"/>
    <w:rsid w:val="003B613A"/>
    <w:rsid w:val="003B748E"/>
    <w:rsid w:val="003C29CC"/>
    <w:rsid w:val="003C2D26"/>
    <w:rsid w:val="003C4A03"/>
    <w:rsid w:val="003C7BC8"/>
    <w:rsid w:val="003D61FE"/>
    <w:rsid w:val="003E173C"/>
    <w:rsid w:val="003E7443"/>
    <w:rsid w:val="003F328C"/>
    <w:rsid w:val="004043D5"/>
    <w:rsid w:val="0040785F"/>
    <w:rsid w:val="00412516"/>
    <w:rsid w:val="0042778F"/>
    <w:rsid w:val="0043020F"/>
    <w:rsid w:val="00442267"/>
    <w:rsid w:val="00452D09"/>
    <w:rsid w:val="00462DF8"/>
    <w:rsid w:val="004658AE"/>
    <w:rsid w:val="00474672"/>
    <w:rsid w:val="004751BD"/>
    <w:rsid w:val="00482234"/>
    <w:rsid w:val="00482C7A"/>
    <w:rsid w:val="00485CAE"/>
    <w:rsid w:val="0049285F"/>
    <w:rsid w:val="004934D8"/>
    <w:rsid w:val="00495427"/>
    <w:rsid w:val="00496D0D"/>
    <w:rsid w:val="00496EBF"/>
    <w:rsid w:val="004A0F8C"/>
    <w:rsid w:val="004A3E47"/>
    <w:rsid w:val="004A5F5E"/>
    <w:rsid w:val="004A616D"/>
    <w:rsid w:val="004B1B0E"/>
    <w:rsid w:val="004B2A7C"/>
    <w:rsid w:val="004B5987"/>
    <w:rsid w:val="004B70D3"/>
    <w:rsid w:val="004B789F"/>
    <w:rsid w:val="004B7DB0"/>
    <w:rsid w:val="004C26A5"/>
    <w:rsid w:val="004C53F3"/>
    <w:rsid w:val="004D0157"/>
    <w:rsid w:val="004D04C6"/>
    <w:rsid w:val="004D07AC"/>
    <w:rsid w:val="004D1E3E"/>
    <w:rsid w:val="004E0AA7"/>
    <w:rsid w:val="004E4F7B"/>
    <w:rsid w:val="004E5264"/>
    <w:rsid w:val="004E55B0"/>
    <w:rsid w:val="004F4199"/>
    <w:rsid w:val="004F54A9"/>
    <w:rsid w:val="004F5680"/>
    <w:rsid w:val="00504EEE"/>
    <w:rsid w:val="00512E06"/>
    <w:rsid w:val="00515F00"/>
    <w:rsid w:val="00530A1A"/>
    <w:rsid w:val="00531A09"/>
    <w:rsid w:val="005362A1"/>
    <w:rsid w:val="005364D7"/>
    <w:rsid w:val="00536C2E"/>
    <w:rsid w:val="005406A5"/>
    <w:rsid w:val="005524BB"/>
    <w:rsid w:val="00553968"/>
    <w:rsid w:val="00555E4A"/>
    <w:rsid w:val="00574C9C"/>
    <w:rsid w:val="00577B2B"/>
    <w:rsid w:val="005830A7"/>
    <w:rsid w:val="00583C3C"/>
    <w:rsid w:val="00584D27"/>
    <w:rsid w:val="00592774"/>
    <w:rsid w:val="0059553E"/>
    <w:rsid w:val="00596FE8"/>
    <w:rsid w:val="005A0C55"/>
    <w:rsid w:val="005A2CA6"/>
    <w:rsid w:val="005B45DC"/>
    <w:rsid w:val="005B6F14"/>
    <w:rsid w:val="005C32B0"/>
    <w:rsid w:val="005C53CC"/>
    <w:rsid w:val="005C63E7"/>
    <w:rsid w:val="005D0CC3"/>
    <w:rsid w:val="005D0EBC"/>
    <w:rsid w:val="005D2325"/>
    <w:rsid w:val="005D5848"/>
    <w:rsid w:val="005D7780"/>
    <w:rsid w:val="005E1B36"/>
    <w:rsid w:val="005E303B"/>
    <w:rsid w:val="005E72B0"/>
    <w:rsid w:val="005F656C"/>
    <w:rsid w:val="00602E18"/>
    <w:rsid w:val="006078BE"/>
    <w:rsid w:val="00615DA0"/>
    <w:rsid w:val="00621D9F"/>
    <w:rsid w:val="006333B4"/>
    <w:rsid w:val="00634CD8"/>
    <w:rsid w:val="00637DAC"/>
    <w:rsid w:val="00642B52"/>
    <w:rsid w:val="006442D5"/>
    <w:rsid w:val="00646173"/>
    <w:rsid w:val="00650B20"/>
    <w:rsid w:val="00655285"/>
    <w:rsid w:val="00655537"/>
    <w:rsid w:val="0065574D"/>
    <w:rsid w:val="0066736D"/>
    <w:rsid w:val="00671943"/>
    <w:rsid w:val="00680046"/>
    <w:rsid w:val="00680D3B"/>
    <w:rsid w:val="00690E70"/>
    <w:rsid w:val="00695DBC"/>
    <w:rsid w:val="00695E5E"/>
    <w:rsid w:val="006964E5"/>
    <w:rsid w:val="006965E4"/>
    <w:rsid w:val="006A1048"/>
    <w:rsid w:val="006A6645"/>
    <w:rsid w:val="006B0E98"/>
    <w:rsid w:val="006B121C"/>
    <w:rsid w:val="006B5461"/>
    <w:rsid w:val="006B54F3"/>
    <w:rsid w:val="006C058F"/>
    <w:rsid w:val="006C50A6"/>
    <w:rsid w:val="006D0625"/>
    <w:rsid w:val="006D08C1"/>
    <w:rsid w:val="006D16C3"/>
    <w:rsid w:val="006D7819"/>
    <w:rsid w:val="006F7FC8"/>
    <w:rsid w:val="00704C45"/>
    <w:rsid w:val="0071305F"/>
    <w:rsid w:val="00714C2B"/>
    <w:rsid w:val="007278B4"/>
    <w:rsid w:val="00727A55"/>
    <w:rsid w:val="00731117"/>
    <w:rsid w:val="007319CE"/>
    <w:rsid w:val="00731C82"/>
    <w:rsid w:val="00741C8D"/>
    <w:rsid w:val="007421C7"/>
    <w:rsid w:val="0075142B"/>
    <w:rsid w:val="007528C2"/>
    <w:rsid w:val="007539FB"/>
    <w:rsid w:val="0075516A"/>
    <w:rsid w:val="0075647A"/>
    <w:rsid w:val="007579C9"/>
    <w:rsid w:val="0076035E"/>
    <w:rsid w:val="00763F0D"/>
    <w:rsid w:val="00770B75"/>
    <w:rsid w:val="00771A1A"/>
    <w:rsid w:val="007726C5"/>
    <w:rsid w:val="00772D7F"/>
    <w:rsid w:val="00780BE1"/>
    <w:rsid w:val="00781155"/>
    <w:rsid w:val="00781520"/>
    <w:rsid w:val="00782054"/>
    <w:rsid w:val="00784A82"/>
    <w:rsid w:val="00793BFB"/>
    <w:rsid w:val="007956FE"/>
    <w:rsid w:val="007A0B06"/>
    <w:rsid w:val="007A3897"/>
    <w:rsid w:val="007A4D33"/>
    <w:rsid w:val="007B19F7"/>
    <w:rsid w:val="007B6A32"/>
    <w:rsid w:val="007B715D"/>
    <w:rsid w:val="007B7915"/>
    <w:rsid w:val="007C21C3"/>
    <w:rsid w:val="007C29C1"/>
    <w:rsid w:val="007C39D1"/>
    <w:rsid w:val="007C6878"/>
    <w:rsid w:val="007E4367"/>
    <w:rsid w:val="007E5D9E"/>
    <w:rsid w:val="007F63DB"/>
    <w:rsid w:val="007F6473"/>
    <w:rsid w:val="00801D00"/>
    <w:rsid w:val="00802252"/>
    <w:rsid w:val="008037AF"/>
    <w:rsid w:val="00805D50"/>
    <w:rsid w:val="008114BB"/>
    <w:rsid w:val="00813768"/>
    <w:rsid w:val="00814D22"/>
    <w:rsid w:val="00814ED3"/>
    <w:rsid w:val="0081738E"/>
    <w:rsid w:val="00820FA7"/>
    <w:rsid w:val="00824511"/>
    <w:rsid w:val="00824A32"/>
    <w:rsid w:val="00826658"/>
    <w:rsid w:val="0083070B"/>
    <w:rsid w:val="00833E74"/>
    <w:rsid w:val="008353C7"/>
    <w:rsid w:val="0085399B"/>
    <w:rsid w:val="008573A3"/>
    <w:rsid w:val="00860EA7"/>
    <w:rsid w:val="00867C00"/>
    <w:rsid w:val="00874B5E"/>
    <w:rsid w:val="00875E55"/>
    <w:rsid w:val="0087799C"/>
    <w:rsid w:val="00883B49"/>
    <w:rsid w:val="00887451"/>
    <w:rsid w:val="00890352"/>
    <w:rsid w:val="008913D2"/>
    <w:rsid w:val="0089163B"/>
    <w:rsid w:val="008939BA"/>
    <w:rsid w:val="008A2D11"/>
    <w:rsid w:val="008A3FAE"/>
    <w:rsid w:val="008B0C18"/>
    <w:rsid w:val="008B113C"/>
    <w:rsid w:val="008B5A20"/>
    <w:rsid w:val="008B68FD"/>
    <w:rsid w:val="008D0012"/>
    <w:rsid w:val="008E05DD"/>
    <w:rsid w:val="008E0BC1"/>
    <w:rsid w:val="008E1755"/>
    <w:rsid w:val="008E2C54"/>
    <w:rsid w:val="008E35E0"/>
    <w:rsid w:val="008E6CA5"/>
    <w:rsid w:val="008F6326"/>
    <w:rsid w:val="009029B9"/>
    <w:rsid w:val="0090449B"/>
    <w:rsid w:val="009057FB"/>
    <w:rsid w:val="0091035D"/>
    <w:rsid w:val="009124AD"/>
    <w:rsid w:val="009138F8"/>
    <w:rsid w:val="009171BF"/>
    <w:rsid w:val="00934902"/>
    <w:rsid w:val="00936585"/>
    <w:rsid w:val="009371E1"/>
    <w:rsid w:val="00943F38"/>
    <w:rsid w:val="00945B39"/>
    <w:rsid w:val="00956687"/>
    <w:rsid w:val="00960471"/>
    <w:rsid w:val="00962394"/>
    <w:rsid w:val="00963B1F"/>
    <w:rsid w:val="0096413B"/>
    <w:rsid w:val="00980D5A"/>
    <w:rsid w:val="00982A59"/>
    <w:rsid w:val="00992333"/>
    <w:rsid w:val="00992F71"/>
    <w:rsid w:val="009964DA"/>
    <w:rsid w:val="009A0E78"/>
    <w:rsid w:val="009A1C0A"/>
    <w:rsid w:val="009A2A82"/>
    <w:rsid w:val="009A719B"/>
    <w:rsid w:val="009A7F7C"/>
    <w:rsid w:val="009B01C4"/>
    <w:rsid w:val="009B422A"/>
    <w:rsid w:val="009C1143"/>
    <w:rsid w:val="009C215D"/>
    <w:rsid w:val="009C258F"/>
    <w:rsid w:val="009C3650"/>
    <w:rsid w:val="009C3F04"/>
    <w:rsid w:val="009C7BC2"/>
    <w:rsid w:val="009C7FDC"/>
    <w:rsid w:val="009D0BA0"/>
    <w:rsid w:val="009D1B45"/>
    <w:rsid w:val="009D2FB2"/>
    <w:rsid w:val="009D5D94"/>
    <w:rsid w:val="009D6D24"/>
    <w:rsid w:val="009E2979"/>
    <w:rsid w:val="009E3CC7"/>
    <w:rsid w:val="009E4C3E"/>
    <w:rsid w:val="009E6A7F"/>
    <w:rsid w:val="009F3D3B"/>
    <w:rsid w:val="009F5F1A"/>
    <w:rsid w:val="00A00AE4"/>
    <w:rsid w:val="00A01F90"/>
    <w:rsid w:val="00A022C1"/>
    <w:rsid w:val="00A05045"/>
    <w:rsid w:val="00A0796F"/>
    <w:rsid w:val="00A100E7"/>
    <w:rsid w:val="00A1102B"/>
    <w:rsid w:val="00A112B3"/>
    <w:rsid w:val="00A1230C"/>
    <w:rsid w:val="00A13322"/>
    <w:rsid w:val="00A16642"/>
    <w:rsid w:val="00A17268"/>
    <w:rsid w:val="00A17F6A"/>
    <w:rsid w:val="00A24991"/>
    <w:rsid w:val="00A260DC"/>
    <w:rsid w:val="00A26CFA"/>
    <w:rsid w:val="00A27DAD"/>
    <w:rsid w:val="00A30D30"/>
    <w:rsid w:val="00A40B60"/>
    <w:rsid w:val="00A41625"/>
    <w:rsid w:val="00A41EAC"/>
    <w:rsid w:val="00A42F9B"/>
    <w:rsid w:val="00A43B80"/>
    <w:rsid w:val="00A52AB7"/>
    <w:rsid w:val="00A54CC5"/>
    <w:rsid w:val="00A603B5"/>
    <w:rsid w:val="00A62F1B"/>
    <w:rsid w:val="00A70D0A"/>
    <w:rsid w:val="00A71135"/>
    <w:rsid w:val="00A77F4A"/>
    <w:rsid w:val="00A82371"/>
    <w:rsid w:val="00A85565"/>
    <w:rsid w:val="00A85711"/>
    <w:rsid w:val="00A908F6"/>
    <w:rsid w:val="00A919DD"/>
    <w:rsid w:val="00A9343A"/>
    <w:rsid w:val="00A96476"/>
    <w:rsid w:val="00AB684F"/>
    <w:rsid w:val="00AC3732"/>
    <w:rsid w:val="00AC5DD1"/>
    <w:rsid w:val="00AC69EC"/>
    <w:rsid w:val="00AD7D0E"/>
    <w:rsid w:val="00AE4C45"/>
    <w:rsid w:val="00AE6F3B"/>
    <w:rsid w:val="00AE6FB5"/>
    <w:rsid w:val="00AF11F7"/>
    <w:rsid w:val="00AF252D"/>
    <w:rsid w:val="00AF2C41"/>
    <w:rsid w:val="00B00E54"/>
    <w:rsid w:val="00B02CB2"/>
    <w:rsid w:val="00B03B93"/>
    <w:rsid w:val="00B0658B"/>
    <w:rsid w:val="00B07733"/>
    <w:rsid w:val="00B07B26"/>
    <w:rsid w:val="00B1203D"/>
    <w:rsid w:val="00B15926"/>
    <w:rsid w:val="00B15CF8"/>
    <w:rsid w:val="00B1634E"/>
    <w:rsid w:val="00B163A3"/>
    <w:rsid w:val="00B16FBE"/>
    <w:rsid w:val="00B17151"/>
    <w:rsid w:val="00B26063"/>
    <w:rsid w:val="00B34494"/>
    <w:rsid w:val="00B35B6A"/>
    <w:rsid w:val="00B37414"/>
    <w:rsid w:val="00B43FBF"/>
    <w:rsid w:val="00B447C0"/>
    <w:rsid w:val="00B44848"/>
    <w:rsid w:val="00B46EC6"/>
    <w:rsid w:val="00B50AEE"/>
    <w:rsid w:val="00B52CEF"/>
    <w:rsid w:val="00B543CA"/>
    <w:rsid w:val="00B55DE4"/>
    <w:rsid w:val="00B70BE6"/>
    <w:rsid w:val="00B71997"/>
    <w:rsid w:val="00B729D4"/>
    <w:rsid w:val="00B72AFF"/>
    <w:rsid w:val="00B759C9"/>
    <w:rsid w:val="00B80B73"/>
    <w:rsid w:val="00B820E7"/>
    <w:rsid w:val="00B82716"/>
    <w:rsid w:val="00BA180F"/>
    <w:rsid w:val="00BA67A4"/>
    <w:rsid w:val="00BB3CDD"/>
    <w:rsid w:val="00BB3CE5"/>
    <w:rsid w:val="00BC4565"/>
    <w:rsid w:val="00BC56D3"/>
    <w:rsid w:val="00BC7037"/>
    <w:rsid w:val="00BD77BB"/>
    <w:rsid w:val="00BE11E4"/>
    <w:rsid w:val="00BE482F"/>
    <w:rsid w:val="00BF233A"/>
    <w:rsid w:val="00BF2C42"/>
    <w:rsid w:val="00C05DDB"/>
    <w:rsid w:val="00C06F57"/>
    <w:rsid w:val="00C247EC"/>
    <w:rsid w:val="00C34109"/>
    <w:rsid w:val="00C34D49"/>
    <w:rsid w:val="00C36D5F"/>
    <w:rsid w:val="00C43863"/>
    <w:rsid w:val="00C46B1D"/>
    <w:rsid w:val="00C56C15"/>
    <w:rsid w:val="00C655D3"/>
    <w:rsid w:val="00C6594F"/>
    <w:rsid w:val="00C72716"/>
    <w:rsid w:val="00C73E5E"/>
    <w:rsid w:val="00C758AA"/>
    <w:rsid w:val="00C769A3"/>
    <w:rsid w:val="00C815B8"/>
    <w:rsid w:val="00C86950"/>
    <w:rsid w:val="00C901DA"/>
    <w:rsid w:val="00CA0E14"/>
    <w:rsid w:val="00CA0EC9"/>
    <w:rsid w:val="00CA5EE1"/>
    <w:rsid w:val="00CB6301"/>
    <w:rsid w:val="00CC192B"/>
    <w:rsid w:val="00CC39FB"/>
    <w:rsid w:val="00CC4A2A"/>
    <w:rsid w:val="00CD3F87"/>
    <w:rsid w:val="00CE68A5"/>
    <w:rsid w:val="00CF11E2"/>
    <w:rsid w:val="00CF332C"/>
    <w:rsid w:val="00CF3408"/>
    <w:rsid w:val="00CF5E3B"/>
    <w:rsid w:val="00CF7033"/>
    <w:rsid w:val="00D0101B"/>
    <w:rsid w:val="00D04595"/>
    <w:rsid w:val="00D12BD7"/>
    <w:rsid w:val="00D12F2C"/>
    <w:rsid w:val="00D17262"/>
    <w:rsid w:val="00D237EF"/>
    <w:rsid w:val="00D3637D"/>
    <w:rsid w:val="00D3704D"/>
    <w:rsid w:val="00D4140D"/>
    <w:rsid w:val="00D44C48"/>
    <w:rsid w:val="00D50FD1"/>
    <w:rsid w:val="00D557C4"/>
    <w:rsid w:val="00D74BBC"/>
    <w:rsid w:val="00D7500A"/>
    <w:rsid w:val="00D76DE9"/>
    <w:rsid w:val="00D804DB"/>
    <w:rsid w:val="00D91250"/>
    <w:rsid w:val="00D9164A"/>
    <w:rsid w:val="00D9186C"/>
    <w:rsid w:val="00DA272C"/>
    <w:rsid w:val="00DA416E"/>
    <w:rsid w:val="00DA5C23"/>
    <w:rsid w:val="00DA6A1A"/>
    <w:rsid w:val="00DA7D18"/>
    <w:rsid w:val="00DC0C35"/>
    <w:rsid w:val="00DD3BC7"/>
    <w:rsid w:val="00DE55F2"/>
    <w:rsid w:val="00DF73B4"/>
    <w:rsid w:val="00E01C44"/>
    <w:rsid w:val="00E026D1"/>
    <w:rsid w:val="00E04315"/>
    <w:rsid w:val="00E12D36"/>
    <w:rsid w:val="00E2314E"/>
    <w:rsid w:val="00E25021"/>
    <w:rsid w:val="00E31BE7"/>
    <w:rsid w:val="00E34E18"/>
    <w:rsid w:val="00E41DEB"/>
    <w:rsid w:val="00E42D92"/>
    <w:rsid w:val="00E430CE"/>
    <w:rsid w:val="00E431F2"/>
    <w:rsid w:val="00E50ADF"/>
    <w:rsid w:val="00E56396"/>
    <w:rsid w:val="00E57E1F"/>
    <w:rsid w:val="00E622D2"/>
    <w:rsid w:val="00E651EF"/>
    <w:rsid w:val="00E65343"/>
    <w:rsid w:val="00E6562A"/>
    <w:rsid w:val="00E659DE"/>
    <w:rsid w:val="00E7217B"/>
    <w:rsid w:val="00E81AA6"/>
    <w:rsid w:val="00E83721"/>
    <w:rsid w:val="00EA711E"/>
    <w:rsid w:val="00EB0484"/>
    <w:rsid w:val="00EB0C22"/>
    <w:rsid w:val="00EB2A10"/>
    <w:rsid w:val="00EB3412"/>
    <w:rsid w:val="00EB46C8"/>
    <w:rsid w:val="00EB6CF9"/>
    <w:rsid w:val="00EB7D36"/>
    <w:rsid w:val="00EC378F"/>
    <w:rsid w:val="00EC44A9"/>
    <w:rsid w:val="00EC5397"/>
    <w:rsid w:val="00EC5477"/>
    <w:rsid w:val="00EC58FE"/>
    <w:rsid w:val="00ED113F"/>
    <w:rsid w:val="00ED5E54"/>
    <w:rsid w:val="00EE1507"/>
    <w:rsid w:val="00EE2837"/>
    <w:rsid w:val="00EE7B1F"/>
    <w:rsid w:val="00EF1122"/>
    <w:rsid w:val="00EF4E0A"/>
    <w:rsid w:val="00EF6C17"/>
    <w:rsid w:val="00F011D7"/>
    <w:rsid w:val="00F0153F"/>
    <w:rsid w:val="00F0735E"/>
    <w:rsid w:val="00F10461"/>
    <w:rsid w:val="00F14CB8"/>
    <w:rsid w:val="00F14D70"/>
    <w:rsid w:val="00F24140"/>
    <w:rsid w:val="00F40ED4"/>
    <w:rsid w:val="00F43451"/>
    <w:rsid w:val="00F46121"/>
    <w:rsid w:val="00F4675B"/>
    <w:rsid w:val="00F56F64"/>
    <w:rsid w:val="00F573A6"/>
    <w:rsid w:val="00F616ED"/>
    <w:rsid w:val="00F65F96"/>
    <w:rsid w:val="00F779BF"/>
    <w:rsid w:val="00F86512"/>
    <w:rsid w:val="00F86B5D"/>
    <w:rsid w:val="00F87225"/>
    <w:rsid w:val="00F90DB8"/>
    <w:rsid w:val="00F91BD2"/>
    <w:rsid w:val="00F93323"/>
    <w:rsid w:val="00F971C0"/>
    <w:rsid w:val="00FA45F4"/>
    <w:rsid w:val="00FB4282"/>
    <w:rsid w:val="00FB4471"/>
    <w:rsid w:val="00FB6912"/>
    <w:rsid w:val="00FB6CD1"/>
    <w:rsid w:val="00FB7C43"/>
    <w:rsid w:val="00FC0BF8"/>
    <w:rsid w:val="00FC1899"/>
    <w:rsid w:val="00FC45B4"/>
    <w:rsid w:val="00FC76D0"/>
    <w:rsid w:val="00FD0AD0"/>
    <w:rsid w:val="00FE420B"/>
    <w:rsid w:val="00FE67C7"/>
    <w:rsid w:val="00FF0C11"/>
    <w:rsid w:val="00FF3C0C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1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031"/>
  </w:style>
  <w:style w:type="paragraph" w:styleId="Footer">
    <w:name w:val="footer"/>
    <w:basedOn w:val="Normal"/>
    <w:link w:val="FooterChar"/>
    <w:uiPriority w:val="99"/>
    <w:unhideWhenUsed/>
    <w:rsid w:val="00324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031"/>
  </w:style>
  <w:style w:type="paragraph" w:styleId="NoSpacing">
    <w:name w:val="No Spacing"/>
    <w:uiPriority w:val="1"/>
    <w:qFormat/>
    <w:rsid w:val="003C29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1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031"/>
  </w:style>
  <w:style w:type="paragraph" w:styleId="Footer">
    <w:name w:val="footer"/>
    <w:basedOn w:val="Normal"/>
    <w:link w:val="FooterChar"/>
    <w:uiPriority w:val="99"/>
    <w:unhideWhenUsed/>
    <w:rsid w:val="00324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031"/>
  </w:style>
  <w:style w:type="paragraph" w:styleId="NoSpacing">
    <w:name w:val="No Spacing"/>
    <w:uiPriority w:val="1"/>
    <w:qFormat/>
    <w:rsid w:val="003C29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153B9-1C5D-4178-ACC8-4D434454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Monahan</dc:creator>
  <cp:lastModifiedBy>Mary West</cp:lastModifiedBy>
  <cp:revision>2</cp:revision>
  <cp:lastPrinted>2016-09-06T18:21:00Z</cp:lastPrinted>
  <dcterms:created xsi:type="dcterms:W3CDTF">2017-01-04T16:40:00Z</dcterms:created>
  <dcterms:modified xsi:type="dcterms:W3CDTF">2017-01-04T16:40:00Z</dcterms:modified>
</cp:coreProperties>
</file>