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9F9B3" w14:textId="77777777" w:rsidR="00A844E1" w:rsidRPr="00A0262B" w:rsidRDefault="00436305">
      <w:pPr>
        <w:pStyle w:val="Heading1"/>
        <w:rPr>
          <w:rFonts w:ascii="Times New Roman" w:hAnsi="Times New Roman" w:cs="Times New Roman"/>
          <w:sz w:val="24"/>
          <w:szCs w:val="24"/>
        </w:rPr>
      </w:pPr>
      <w:r w:rsidRPr="00A0262B">
        <w:rPr>
          <w:rFonts w:ascii="Times New Roman" w:hAnsi="Times New Roman" w:cs="Times New Roman"/>
          <w:noProof/>
          <w:sz w:val="24"/>
          <w:szCs w:val="24"/>
        </w:rPr>
        <w:drawing>
          <wp:anchor distT="0" distB="0" distL="0" distR="0" simplePos="0" relativeHeight="15729152" behindDoc="0" locked="0" layoutInCell="1" allowOverlap="1" wp14:anchorId="1EF25662" wp14:editId="51E8A353">
            <wp:simplePos x="0" y="0"/>
            <wp:positionH relativeFrom="page">
              <wp:posOffset>498603</wp:posOffset>
            </wp:positionH>
            <wp:positionV relativeFrom="paragraph">
              <wp:posOffset>32006</wp:posOffset>
            </wp:positionV>
            <wp:extent cx="1973446" cy="6673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973446" cy="667349"/>
                    </a:xfrm>
                    <a:prstGeom prst="rect">
                      <a:avLst/>
                    </a:prstGeom>
                  </pic:spPr>
                </pic:pic>
              </a:graphicData>
            </a:graphic>
          </wp:anchor>
        </w:drawing>
      </w:r>
      <w:r w:rsidRPr="00A0262B">
        <w:rPr>
          <w:rFonts w:ascii="Times New Roman" w:hAnsi="Times New Roman" w:cs="Times New Roman"/>
          <w:color w:val="212121"/>
          <w:spacing w:val="-5"/>
          <w:sz w:val="24"/>
          <w:szCs w:val="24"/>
        </w:rPr>
        <w:t>CSA</w:t>
      </w:r>
    </w:p>
    <w:p w14:paraId="0F5D282A" w14:textId="77777777" w:rsidR="00A844E1" w:rsidRPr="00A0262B" w:rsidRDefault="00436305">
      <w:pPr>
        <w:pStyle w:val="BodyText"/>
        <w:spacing w:before="52"/>
        <w:ind w:right="42"/>
        <w:jc w:val="right"/>
        <w:rPr>
          <w:rFonts w:ascii="Times New Roman" w:hAnsi="Times New Roman" w:cs="Times New Roman"/>
          <w:sz w:val="24"/>
          <w:szCs w:val="24"/>
        </w:rPr>
      </w:pPr>
      <w:r w:rsidRPr="00A0262B">
        <w:rPr>
          <w:rFonts w:ascii="Times New Roman" w:hAnsi="Times New Roman" w:cs="Times New Roman"/>
          <w:color w:val="212121"/>
          <w:sz w:val="24"/>
          <w:szCs w:val="24"/>
        </w:rPr>
        <w:t>120</w:t>
      </w:r>
      <w:r w:rsidRPr="00A0262B">
        <w:rPr>
          <w:rFonts w:ascii="Times New Roman" w:hAnsi="Times New Roman" w:cs="Times New Roman"/>
          <w:color w:val="212121"/>
          <w:spacing w:val="-4"/>
          <w:sz w:val="24"/>
          <w:szCs w:val="24"/>
        </w:rPr>
        <w:t xml:space="preserve"> </w:t>
      </w:r>
      <w:r w:rsidRPr="00A0262B">
        <w:rPr>
          <w:rFonts w:ascii="Times New Roman" w:hAnsi="Times New Roman" w:cs="Times New Roman"/>
          <w:color w:val="212121"/>
          <w:sz w:val="24"/>
          <w:szCs w:val="24"/>
        </w:rPr>
        <w:t>Handley</w:t>
      </w:r>
      <w:r w:rsidRPr="00A0262B">
        <w:rPr>
          <w:rFonts w:ascii="Times New Roman" w:hAnsi="Times New Roman" w:cs="Times New Roman"/>
          <w:color w:val="212121"/>
          <w:spacing w:val="-2"/>
          <w:sz w:val="24"/>
          <w:szCs w:val="24"/>
        </w:rPr>
        <w:t xml:space="preserve"> </w:t>
      </w:r>
      <w:r w:rsidRPr="00A0262B">
        <w:rPr>
          <w:rFonts w:ascii="Times New Roman" w:hAnsi="Times New Roman" w:cs="Times New Roman"/>
          <w:color w:val="212121"/>
          <w:sz w:val="24"/>
          <w:szCs w:val="24"/>
        </w:rPr>
        <w:t>Rd.</w:t>
      </w:r>
      <w:r w:rsidRPr="00A0262B">
        <w:rPr>
          <w:rFonts w:ascii="Times New Roman" w:hAnsi="Times New Roman" w:cs="Times New Roman"/>
          <w:color w:val="212121"/>
          <w:spacing w:val="-1"/>
          <w:sz w:val="24"/>
          <w:szCs w:val="24"/>
        </w:rPr>
        <w:t xml:space="preserve"> </w:t>
      </w:r>
      <w:r w:rsidRPr="00A0262B">
        <w:rPr>
          <w:rFonts w:ascii="Times New Roman" w:hAnsi="Times New Roman" w:cs="Times New Roman"/>
          <w:color w:val="212121"/>
          <w:sz w:val="24"/>
          <w:szCs w:val="24"/>
        </w:rPr>
        <w:t>Ste</w:t>
      </w:r>
      <w:r w:rsidRPr="00A0262B">
        <w:rPr>
          <w:rFonts w:ascii="Times New Roman" w:hAnsi="Times New Roman" w:cs="Times New Roman"/>
          <w:color w:val="212121"/>
          <w:spacing w:val="-2"/>
          <w:sz w:val="24"/>
          <w:szCs w:val="24"/>
        </w:rPr>
        <w:t xml:space="preserve"> </w:t>
      </w:r>
      <w:r w:rsidRPr="00A0262B">
        <w:rPr>
          <w:rFonts w:ascii="Times New Roman" w:hAnsi="Times New Roman" w:cs="Times New Roman"/>
          <w:color w:val="212121"/>
          <w:sz w:val="24"/>
          <w:szCs w:val="24"/>
        </w:rPr>
        <w:t>610,</w:t>
      </w:r>
      <w:r w:rsidRPr="00A0262B">
        <w:rPr>
          <w:rFonts w:ascii="Times New Roman" w:hAnsi="Times New Roman" w:cs="Times New Roman"/>
          <w:color w:val="212121"/>
          <w:spacing w:val="-2"/>
          <w:sz w:val="24"/>
          <w:szCs w:val="24"/>
        </w:rPr>
        <w:t xml:space="preserve"> </w:t>
      </w:r>
      <w:r w:rsidRPr="00A0262B">
        <w:rPr>
          <w:rFonts w:ascii="Times New Roman" w:hAnsi="Times New Roman" w:cs="Times New Roman"/>
          <w:color w:val="212121"/>
          <w:sz w:val="24"/>
          <w:szCs w:val="24"/>
        </w:rPr>
        <w:t>Tyrone,</w:t>
      </w:r>
      <w:r w:rsidRPr="00A0262B">
        <w:rPr>
          <w:rFonts w:ascii="Times New Roman" w:hAnsi="Times New Roman" w:cs="Times New Roman"/>
          <w:color w:val="212121"/>
          <w:spacing w:val="-3"/>
          <w:sz w:val="24"/>
          <w:szCs w:val="24"/>
        </w:rPr>
        <w:t xml:space="preserve"> </w:t>
      </w:r>
      <w:r w:rsidRPr="00A0262B">
        <w:rPr>
          <w:rFonts w:ascii="Times New Roman" w:hAnsi="Times New Roman" w:cs="Times New Roman"/>
          <w:color w:val="212121"/>
          <w:sz w:val="24"/>
          <w:szCs w:val="24"/>
        </w:rPr>
        <w:t>GA</w:t>
      </w:r>
      <w:r w:rsidRPr="00A0262B">
        <w:rPr>
          <w:rFonts w:ascii="Times New Roman" w:hAnsi="Times New Roman" w:cs="Times New Roman"/>
          <w:color w:val="212121"/>
          <w:spacing w:val="-2"/>
          <w:sz w:val="24"/>
          <w:szCs w:val="24"/>
        </w:rPr>
        <w:t xml:space="preserve"> 30290</w:t>
      </w:r>
    </w:p>
    <w:p w14:paraId="03DA8876" w14:textId="77777777" w:rsidR="00A844E1" w:rsidRPr="00A0262B" w:rsidRDefault="00436305">
      <w:pPr>
        <w:pStyle w:val="BodyText"/>
        <w:spacing w:before="49"/>
        <w:ind w:right="43"/>
        <w:jc w:val="right"/>
        <w:rPr>
          <w:rFonts w:ascii="Times New Roman" w:hAnsi="Times New Roman" w:cs="Times New Roman"/>
          <w:sz w:val="24"/>
          <w:szCs w:val="24"/>
        </w:rPr>
      </w:pPr>
      <w:r w:rsidRPr="00A0262B">
        <w:rPr>
          <w:rFonts w:ascii="Times New Roman" w:hAnsi="Times New Roman" w:cs="Times New Roman"/>
          <w:color w:val="212121"/>
          <w:sz w:val="24"/>
          <w:szCs w:val="24"/>
        </w:rPr>
        <w:t>678-674-</w:t>
      </w:r>
      <w:r w:rsidRPr="00A0262B">
        <w:rPr>
          <w:rFonts w:ascii="Times New Roman" w:hAnsi="Times New Roman" w:cs="Times New Roman"/>
          <w:color w:val="212121"/>
          <w:spacing w:val="-4"/>
          <w:sz w:val="24"/>
          <w:szCs w:val="24"/>
        </w:rPr>
        <w:t>1860</w:t>
      </w:r>
    </w:p>
    <w:p w14:paraId="71B1C8FE" w14:textId="77777777" w:rsidR="00A844E1" w:rsidRDefault="00A844E1">
      <w:pPr>
        <w:spacing w:before="219" w:after="1"/>
        <w:rPr>
          <w:sz w:val="20"/>
        </w:rPr>
      </w:pPr>
    </w:p>
    <w:p w14:paraId="7F0932E4" w14:textId="3069F5F9" w:rsidR="00436305" w:rsidRPr="00FC3946" w:rsidRDefault="00684A20" w:rsidP="00FC3946">
      <w:pPr>
        <w:jc w:val="center"/>
        <w:rPr>
          <w:rFonts w:ascii="Times New Roman" w:hAnsi="Times New Roman" w:cs="Times New Roman"/>
          <w:b/>
          <w:bCs/>
          <w:sz w:val="24"/>
          <w:szCs w:val="24"/>
        </w:rPr>
      </w:pPr>
      <w:r w:rsidRPr="00FC3946">
        <w:rPr>
          <w:rFonts w:ascii="Times New Roman" w:hAnsi="Times New Roman" w:cs="Times New Roman"/>
          <w:b/>
          <w:bCs/>
          <w:sz w:val="24"/>
          <w:szCs w:val="24"/>
        </w:rPr>
        <w:t>The True Cost of Workplace Accidents</w:t>
      </w:r>
    </w:p>
    <w:p w14:paraId="740B78DB" w14:textId="77777777" w:rsidR="007448EA" w:rsidRDefault="007448EA" w:rsidP="00684A20"/>
    <w:p w14:paraId="0ECC8D11" w14:textId="77777777" w:rsidR="007448EA" w:rsidRPr="007448EA" w:rsidRDefault="007448EA" w:rsidP="007448EA">
      <w:pPr>
        <w:rPr>
          <w:b/>
          <w:bCs/>
        </w:rPr>
      </w:pPr>
      <w:r w:rsidRPr="007448EA">
        <w:rPr>
          <w:b/>
          <w:bCs/>
        </w:rPr>
        <w:t>Overview</w:t>
      </w:r>
    </w:p>
    <w:p w14:paraId="584C6BC3" w14:textId="77777777" w:rsidR="007448EA" w:rsidRPr="007448EA" w:rsidRDefault="007448EA" w:rsidP="007448EA">
      <w:r w:rsidRPr="007448EA">
        <w:t>The average claim cost estimates are provided by the National Council on Compensation Insurance, Inc. (NCCI). These figures reflect the average cost of lost-time workers’ compensation insurance claims derived from statistical reports submitted to NCCI for policy years on or after October 1, 2019.</w:t>
      </w:r>
    </w:p>
    <w:p w14:paraId="06CF0696" w14:textId="4E90A60C" w:rsidR="007448EA" w:rsidRPr="007448EA" w:rsidRDefault="007448EA" w:rsidP="007448EA">
      <w:r w:rsidRPr="007448EA">
        <w:t xml:space="preserve">NCCI does not guarantee </w:t>
      </w:r>
      <w:r w:rsidR="00A0262B" w:rsidRPr="007448EA">
        <w:t>accuracy</w:t>
      </w:r>
      <w:r w:rsidRPr="007448EA">
        <w:t xml:space="preserve"> of the data or assume responsibility for any results obtained using this information. NCCI data may only be used as provided in conjunction with OSHA’s Safety Pays Individual Injury Estimator.</w:t>
      </w:r>
    </w:p>
    <w:p w14:paraId="4F3C6DCD" w14:textId="77777777" w:rsidR="007448EA" w:rsidRPr="007448EA" w:rsidRDefault="007448EA" w:rsidP="007448EA">
      <w:r w:rsidRPr="007448EA">
        <w:t>The National Council on Compensation Insurance manages the nation’s largest database of workers’ compensation insurance information. NCCI analyzes industry trends, prepares rate recommendations, determines legislative cost impacts, and provides tools to support a healthy workers’ compensation system.</w:t>
      </w:r>
    </w:p>
    <w:p w14:paraId="605D9E67" w14:textId="77777777" w:rsidR="007448EA" w:rsidRDefault="007448EA" w:rsidP="00684A20"/>
    <w:p w14:paraId="4D5F55E1" w14:textId="77777777" w:rsidR="00B86666" w:rsidRPr="00B86666" w:rsidRDefault="00B86666" w:rsidP="00B86666">
      <w:pPr>
        <w:rPr>
          <w:b/>
          <w:bCs/>
        </w:rPr>
      </w:pPr>
      <w:r w:rsidRPr="00B86666">
        <w:rPr>
          <w:b/>
          <w:bCs/>
        </w:rPr>
        <w:t>Understanding Indirect Costs</w:t>
      </w:r>
    </w:p>
    <w:p w14:paraId="5D6E7520" w14:textId="77777777" w:rsidR="00B86666" w:rsidRPr="00B86666" w:rsidRDefault="00B86666" w:rsidP="00B86666">
      <w:r w:rsidRPr="00B86666">
        <w:t xml:space="preserve">Indirect cost estimates referenced in this resource are based on the Business Roundtable publication </w:t>
      </w:r>
      <w:r w:rsidRPr="00B86666">
        <w:rPr>
          <w:i/>
          <w:iCs/>
        </w:rPr>
        <w:t>Improving Construction Safety Performance</w:t>
      </w:r>
      <w:r w:rsidRPr="00B86666">
        <w:t>, as well as a study conducted by the Stanford University Department of Civil Engineering.</w:t>
      </w:r>
    </w:p>
    <w:p w14:paraId="7190250A" w14:textId="77777777" w:rsidR="00B86666" w:rsidRPr="00B86666" w:rsidRDefault="00B86666" w:rsidP="00B86666">
      <w:r w:rsidRPr="00B86666">
        <w:t xml:space="preserve">The severity of an injury directly </w:t>
      </w:r>
      <w:proofErr w:type="gramStart"/>
      <w:r w:rsidRPr="00B86666">
        <w:t>impacts</w:t>
      </w:r>
      <w:proofErr w:type="gramEnd"/>
      <w:r w:rsidRPr="00B86666">
        <w:t xml:space="preserve"> the relationship between direct and indirect costs:</w:t>
      </w:r>
    </w:p>
    <w:p w14:paraId="41E9D75C" w14:textId="77777777" w:rsidR="00B86666" w:rsidRPr="00B86666" w:rsidRDefault="00B86666" w:rsidP="00B86666">
      <w:pPr>
        <w:numPr>
          <w:ilvl w:val="0"/>
          <w:numId w:val="1"/>
        </w:numPr>
      </w:pPr>
      <w:r w:rsidRPr="00B86666">
        <w:t xml:space="preserve">Less severe injuries often carry </w:t>
      </w:r>
      <w:r w:rsidRPr="00B86666">
        <w:rPr>
          <w:b/>
          <w:bCs/>
        </w:rPr>
        <w:t>higher indirect cost ratios</w:t>
      </w:r>
      <w:r w:rsidRPr="00B86666">
        <w:t xml:space="preserve"> </w:t>
      </w:r>
    </w:p>
    <w:p w14:paraId="42F7BF76" w14:textId="77777777" w:rsidR="00B86666" w:rsidRPr="00B86666" w:rsidRDefault="00B86666" w:rsidP="00B86666">
      <w:pPr>
        <w:numPr>
          <w:ilvl w:val="0"/>
          <w:numId w:val="1"/>
        </w:numPr>
      </w:pPr>
      <w:r w:rsidRPr="00B86666">
        <w:t xml:space="preserve">More severe injuries tend to have </w:t>
      </w:r>
      <w:r w:rsidRPr="00B86666">
        <w:rPr>
          <w:b/>
          <w:bCs/>
        </w:rPr>
        <w:t>lower indirect cost ratios</w:t>
      </w:r>
      <w:r w:rsidRPr="00B86666">
        <w:t xml:space="preserve"> </w:t>
      </w:r>
    </w:p>
    <w:p w14:paraId="3578DFF2" w14:textId="693B7C55" w:rsidR="00B86666" w:rsidRPr="00B86666" w:rsidRDefault="00B86666" w:rsidP="00B86666">
      <w:r w:rsidRPr="00B86666">
        <w:t xml:space="preserve">While indirect costs can make up </w:t>
      </w:r>
      <w:r w:rsidR="00A0262B" w:rsidRPr="00B86666">
        <w:t>much of</w:t>
      </w:r>
      <w:r w:rsidRPr="00B86666">
        <w:t xml:space="preserve"> the true cost of an accident, they are typically:</w:t>
      </w:r>
    </w:p>
    <w:p w14:paraId="793404BA" w14:textId="77777777" w:rsidR="00B86666" w:rsidRPr="00B86666" w:rsidRDefault="00B86666" w:rsidP="00B86666">
      <w:pPr>
        <w:numPr>
          <w:ilvl w:val="0"/>
          <w:numId w:val="2"/>
        </w:numPr>
      </w:pPr>
      <w:r w:rsidRPr="00B86666">
        <w:t xml:space="preserve">Uninsured </w:t>
      </w:r>
    </w:p>
    <w:p w14:paraId="5BA64E27" w14:textId="77777777" w:rsidR="00B86666" w:rsidRPr="00B86666" w:rsidRDefault="00B86666" w:rsidP="00B86666">
      <w:pPr>
        <w:numPr>
          <w:ilvl w:val="0"/>
          <w:numId w:val="2"/>
        </w:numPr>
      </w:pPr>
      <w:r w:rsidRPr="00B86666">
        <w:t xml:space="preserve">Unrecoverable </w:t>
      </w:r>
    </w:p>
    <w:p w14:paraId="16110E4E" w14:textId="77777777" w:rsidR="00B86666" w:rsidRPr="00B86666" w:rsidRDefault="00B86666" w:rsidP="00B86666">
      <w:pPr>
        <w:numPr>
          <w:ilvl w:val="0"/>
          <w:numId w:val="2"/>
        </w:numPr>
      </w:pPr>
      <w:r w:rsidRPr="00B86666">
        <w:t xml:space="preserve">Often overlooked </w:t>
      </w:r>
    </w:p>
    <w:p w14:paraId="275E7B89" w14:textId="77777777" w:rsidR="00B86666" w:rsidRPr="00B86666" w:rsidRDefault="00B86666" w:rsidP="00B86666">
      <w:r w:rsidRPr="00B86666">
        <w:t>Indirect cost multipliers are estimates and will vary depending on each employer’s specific circumstances.</w:t>
      </w:r>
    </w:p>
    <w:p w14:paraId="5EA4A553" w14:textId="77777777" w:rsidR="00B86666" w:rsidRDefault="00B86666" w:rsidP="00684A20"/>
    <w:p w14:paraId="204D3F9A" w14:textId="77777777" w:rsidR="002570A2" w:rsidRPr="002570A2" w:rsidRDefault="002570A2" w:rsidP="002570A2">
      <w:pPr>
        <w:rPr>
          <w:b/>
          <w:bCs/>
        </w:rPr>
      </w:pPr>
      <w:r w:rsidRPr="002570A2">
        <w:rPr>
          <w:b/>
          <w:bCs/>
        </w:rPr>
        <w:t>Common Indirect Costs</w:t>
      </w:r>
    </w:p>
    <w:p w14:paraId="4E8DA985" w14:textId="77777777" w:rsidR="002570A2" w:rsidRPr="002570A2" w:rsidRDefault="002570A2" w:rsidP="002570A2">
      <w:r w:rsidRPr="002570A2">
        <w:t>Indirect costs associated with workplace injuries may include:</w:t>
      </w:r>
    </w:p>
    <w:p w14:paraId="2BAD4476" w14:textId="77777777" w:rsidR="002570A2" w:rsidRPr="002570A2" w:rsidRDefault="002570A2" w:rsidP="002570A2">
      <w:pPr>
        <w:numPr>
          <w:ilvl w:val="0"/>
          <w:numId w:val="3"/>
        </w:numPr>
      </w:pPr>
      <w:r w:rsidRPr="002570A2">
        <w:t xml:space="preserve">Wages paid to injured employees </w:t>
      </w:r>
      <w:proofErr w:type="gramStart"/>
      <w:r w:rsidRPr="002570A2">
        <w:t>not</w:t>
      </w:r>
      <w:proofErr w:type="gramEnd"/>
      <w:r w:rsidRPr="002570A2">
        <w:t xml:space="preserve"> covered by workers’ compensation </w:t>
      </w:r>
    </w:p>
    <w:p w14:paraId="312820FC" w14:textId="77777777" w:rsidR="002570A2" w:rsidRPr="002570A2" w:rsidRDefault="002570A2" w:rsidP="002570A2">
      <w:pPr>
        <w:numPr>
          <w:ilvl w:val="0"/>
          <w:numId w:val="3"/>
        </w:numPr>
      </w:pPr>
      <w:r w:rsidRPr="002570A2">
        <w:t xml:space="preserve">Lost wages due to work stoppage following an incident </w:t>
      </w:r>
    </w:p>
    <w:p w14:paraId="6B862D46" w14:textId="77777777" w:rsidR="002570A2" w:rsidRPr="002570A2" w:rsidRDefault="002570A2" w:rsidP="002570A2">
      <w:pPr>
        <w:numPr>
          <w:ilvl w:val="0"/>
          <w:numId w:val="3"/>
        </w:numPr>
      </w:pPr>
      <w:r w:rsidRPr="002570A2">
        <w:t xml:space="preserve">Overtime costs required to maintain operations </w:t>
      </w:r>
    </w:p>
    <w:p w14:paraId="1583CC72" w14:textId="77777777" w:rsidR="002570A2" w:rsidRPr="002570A2" w:rsidRDefault="002570A2" w:rsidP="002570A2">
      <w:pPr>
        <w:numPr>
          <w:ilvl w:val="0"/>
          <w:numId w:val="3"/>
        </w:numPr>
      </w:pPr>
      <w:r w:rsidRPr="002570A2">
        <w:t xml:space="preserve">Administrative time spent by supervisors, safety personnel, and office staff </w:t>
      </w:r>
    </w:p>
    <w:p w14:paraId="7C46E82F" w14:textId="77777777" w:rsidR="002570A2" w:rsidRPr="002570A2" w:rsidRDefault="002570A2" w:rsidP="002570A2">
      <w:pPr>
        <w:numPr>
          <w:ilvl w:val="0"/>
          <w:numId w:val="3"/>
        </w:numPr>
      </w:pPr>
      <w:r w:rsidRPr="002570A2">
        <w:t xml:space="preserve">Training costs for </w:t>
      </w:r>
      <w:proofErr w:type="gramStart"/>
      <w:r w:rsidRPr="002570A2">
        <w:t>replacement</w:t>
      </w:r>
      <w:proofErr w:type="gramEnd"/>
      <w:r w:rsidRPr="002570A2">
        <w:t xml:space="preserve"> employees </w:t>
      </w:r>
    </w:p>
    <w:p w14:paraId="47464ACF" w14:textId="77777777" w:rsidR="002570A2" w:rsidRPr="002570A2" w:rsidRDefault="002570A2" w:rsidP="002570A2">
      <w:pPr>
        <w:numPr>
          <w:ilvl w:val="0"/>
          <w:numId w:val="3"/>
        </w:numPr>
      </w:pPr>
      <w:r w:rsidRPr="002570A2">
        <w:t xml:space="preserve">Lost productivity due to rescheduling, learning curves, and accommodations </w:t>
      </w:r>
    </w:p>
    <w:p w14:paraId="6EB0CB3A" w14:textId="77777777" w:rsidR="002570A2" w:rsidRPr="002570A2" w:rsidRDefault="002570A2" w:rsidP="002570A2">
      <w:pPr>
        <w:numPr>
          <w:ilvl w:val="0"/>
          <w:numId w:val="3"/>
        </w:numPr>
      </w:pPr>
      <w:r w:rsidRPr="002570A2">
        <w:t>Cleanup, repair, and replacement of damaged equipment, materials, or property</w:t>
      </w:r>
    </w:p>
    <w:p w14:paraId="08827A89" w14:textId="77777777" w:rsidR="002570A2" w:rsidRDefault="002570A2" w:rsidP="00684A20"/>
    <w:p w14:paraId="5C5682FF" w14:textId="77777777" w:rsidR="002570A2" w:rsidRPr="002570A2" w:rsidRDefault="002570A2" w:rsidP="002570A2">
      <w:pPr>
        <w:rPr>
          <w:b/>
          <w:bCs/>
        </w:rPr>
      </w:pPr>
      <w:r w:rsidRPr="002570A2">
        <w:rPr>
          <w:b/>
          <w:bCs/>
        </w:rPr>
        <w:t>Additional Potential Costs</w:t>
      </w:r>
    </w:p>
    <w:p w14:paraId="7DEC5723" w14:textId="77777777" w:rsidR="002570A2" w:rsidRPr="002570A2" w:rsidRDefault="002570A2" w:rsidP="002570A2">
      <w:r w:rsidRPr="002570A2">
        <w:t>Some indirect costs are not included in standard estimates but can significantly impact a business:</w:t>
      </w:r>
    </w:p>
    <w:p w14:paraId="6ED7C622" w14:textId="77777777" w:rsidR="002570A2" w:rsidRPr="002570A2" w:rsidRDefault="002570A2" w:rsidP="002570A2">
      <w:pPr>
        <w:numPr>
          <w:ilvl w:val="0"/>
          <w:numId w:val="4"/>
        </w:numPr>
      </w:pPr>
      <w:r w:rsidRPr="002570A2">
        <w:t xml:space="preserve">OSHA fines and associated legal expenses </w:t>
      </w:r>
    </w:p>
    <w:p w14:paraId="66D90042" w14:textId="77777777" w:rsidR="002570A2" w:rsidRPr="002570A2" w:rsidRDefault="002570A2" w:rsidP="002570A2">
      <w:pPr>
        <w:numPr>
          <w:ilvl w:val="0"/>
          <w:numId w:val="4"/>
        </w:numPr>
      </w:pPr>
      <w:r w:rsidRPr="002570A2">
        <w:t xml:space="preserve">Third-party liability and legal costs </w:t>
      </w:r>
    </w:p>
    <w:p w14:paraId="2DEBD233" w14:textId="77777777" w:rsidR="002570A2" w:rsidRPr="002570A2" w:rsidRDefault="002570A2" w:rsidP="002570A2">
      <w:pPr>
        <w:numPr>
          <w:ilvl w:val="0"/>
          <w:numId w:val="4"/>
        </w:numPr>
      </w:pPr>
      <w:r w:rsidRPr="002570A2">
        <w:t xml:space="preserve">Worker pain and suffering </w:t>
      </w:r>
    </w:p>
    <w:p w14:paraId="4AEBA96C" w14:textId="77777777" w:rsidR="002570A2" w:rsidRDefault="002570A2" w:rsidP="002570A2">
      <w:pPr>
        <w:numPr>
          <w:ilvl w:val="0"/>
          <w:numId w:val="4"/>
        </w:numPr>
      </w:pPr>
      <w:r w:rsidRPr="002570A2">
        <w:t>Loss of reputation or goodwill due to negative publicity</w:t>
      </w:r>
    </w:p>
    <w:p w14:paraId="392046F0" w14:textId="77777777" w:rsidR="002570A2" w:rsidRDefault="002570A2" w:rsidP="002570A2"/>
    <w:p w14:paraId="57AD23FE" w14:textId="77777777" w:rsidR="002570A2" w:rsidRPr="002570A2" w:rsidRDefault="002570A2" w:rsidP="002570A2">
      <w:pPr>
        <w:rPr>
          <w:b/>
          <w:bCs/>
        </w:rPr>
      </w:pPr>
      <w:r w:rsidRPr="002570A2">
        <w:rPr>
          <w:b/>
          <w:bCs/>
        </w:rPr>
        <w:t>Cost Multiplier Guide</w:t>
      </w:r>
    </w:p>
    <w:p w14:paraId="284AB1C0" w14:textId="77777777" w:rsidR="002570A2" w:rsidRPr="002570A2" w:rsidRDefault="002570A2" w:rsidP="002570A2">
      <w:r w:rsidRPr="002570A2">
        <w:t>The OSHA Safety Pays tool uses the following sliding scale to estimate indirect costs: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gridCol w:w="3572"/>
      </w:tblGrid>
      <w:tr w:rsidR="002570A2" w:rsidRPr="002570A2" w14:paraId="7095962E" w14:textId="77777777">
        <w:trPr>
          <w:tblHeader/>
          <w:tblCellSpacing w:w="15" w:type="dxa"/>
        </w:trPr>
        <w:tc>
          <w:tcPr>
            <w:tcW w:w="0" w:type="auto"/>
            <w:vAlign w:val="center"/>
            <w:hideMark/>
          </w:tcPr>
          <w:p w14:paraId="5491CA7F" w14:textId="77777777" w:rsidR="002570A2" w:rsidRPr="002570A2" w:rsidRDefault="002570A2" w:rsidP="002570A2">
            <w:pPr>
              <w:rPr>
                <w:b/>
                <w:bCs/>
              </w:rPr>
            </w:pPr>
            <w:r w:rsidRPr="002570A2">
              <w:rPr>
                <w:b/>
                <w:bCs/>
              </w:rPr>
              <w:t>Direct Cost of Injury</w:t>
            </w:r>
          </w:p>
        </w:tc>
        <w:tc>
          <w:tcPr>
            <w:tcW w:w="0" w:type="auto"/>
            <w:vAlign w:val="center"/>
            <w:hideMark/>
          </w:tcPr>
          <w:p w14:paraId="7812495E" w14:textId="77777777" w:rsidR="002570A2" w:rsidRPr="002570A2" w:rsidRDefault="002570A2" w:rsidP="002570A2">
            <w:pPr>
              <w:rPr>
                <w:b/>
                <w:bCs/>
              </w:rPr>
            </w:pPr>
            <w:r w:rsidRPr="002570A2">
              <w:rPr>
                <w:b/>
                <w:bCs/>
              </w:rPr>
              <w:t>Estimated Indirect Cost Multiplier</w:t>
            </w:r>
          </w:p>
        </w:tc>
      </w:tr>
      <w:tr w:rsidR="002570A2" w:rsidRPr="002570A2" w14:paraId="26A3AA05" w14:textId="77777777">
        <w:trPr>
          <w:tblCellSpacing w:w="15" w:type="dxa"/>
        </w:trPr>
        <w:tc>
          <w:tcPr>
            <w:tcW w:w="0" w:type="auto"/>
            <w:vAlign w:val="center"/>
            <w:hideMark/>
          </w:tcPr>
          <w:p w14:paraId="35AF4671" w14:textId="77777777" w:rsidR="002570A2" w:rsidRPr="002570A2" w:rsidRDefault="002570A2" w:rsidP="002570A2">
            <w:r w:rsidRPr="002570A2">
              <w:t>$0 – $2,999</w:t>
            </w:r>
          </w:p>
        </w:tc>
        <w:tc>
          <w:tcPr>
            <w:tcW w:w="0" w:type="auto"/>
            <w:vAlign w:val="center"/>
            <w:hideMark/>
          </w:tcPr>
          <w:p w14:paraId="202E2DE7" w14:textId="77777777" w:rsidR="002570A2" w:rsidRPr="002570A2" w:rsidRDefault="002570A2" w:rsidP="002570A2">
            <w:r w:rsidRPr="002570A2">
              <w:t>4.5x</w:t>
            </w:r>
          </w:p>
        </w:tc>
      </w:tr>
      <w:tr w:rsidR="002570A2" w:rsidRPr="002570A2" w14:paraId="113FE690" w14:textId="77777777">
        <w:trPr>
          <w:tblCellSpacing w:w="15" w:type="dxa"/>
        </w:trPr>
        <w:tc>
          <w:tcPr>
            <w:tcW w:w="0" w:type="auto"/>
            <w:vAlign w:val="center"/>
            <w:hideMark/>
          </w:tcPr>
          <w:p w14:paraId="6FBE5702" w14:textId="77777777" w:rsidR="002570A2" w:rsidRPr="002570A2" w:rsidRDefault="002570A2" w:rsidP="002570A2">
            <w:r w:rsidRPr="002570A2">
              <w:t>$3,000 – $4,999</w:t>
            </w:r>
          </w:p>
        </w:tc>
        <w:tc>
          <w:tcPr>
            <w:tcW w:w="0" w:type="auto"/>
            <w:vAlign w:val="center"/>
            <w:hideMark/>
          </w:tcPr>
          <w:p w14:paraId="741CD5B8" w14:textId="77777777" w:rsidR="002570A2" w:rsidRPr="002570A2" w:rsidRDefault="002570A2" w:rsidP="002570A2">
            <w:r w:rsidRPr="002570A2">
              <w:t>1.6x</w:t>
            </w:r>
          </w:p>
        </w:tc>
      </w:tr>
      <w:tr w:rsidR="002570A2" w:rsidRPr="002570A2" w14:paraId="75986539" w14:textId="77777777">
        <w:trPr>
          <w:tblCellSpacing w:w="15" w:type="dxa"/>
        </w:trPr>
        <w:tc>
          <w:tcPr>
            <w:tcW w:w="0" w:type="auto"/>
            <w:vAlign w:val="center"/>
            <w:hideMark/>
          </w:tcPr>
          <w:p w14:paraId="5B7CD962" w14:textId="77777777" w:rsidR="002570A2" w:rsidRPr="002570A2" w:rsidRDefault="002570A2" w:rsidP="002570A2">
            <w:r w:rsidRPr="002570A2">
              <w:t>$5,000 – $9,999</w:t>
            </w:r>
          </w:p>
        </w:tc>
        <w:tc>
          <w:tcPr>
            <w:tcW w:w="0" w:type="auto"/>
            <w:vAlign w:val="center"/>
            <w:hideMark/>
          </w:tcPr>
          <w:p w14:paraId="5FAC71D8" w14:textId="77777777" w:rsidR="002570A2" w:rsidRPr="002570A2" w:rsidRDefault="002570A2" w:rsidP="002570A2">
            <w:r w:rsidRPr="002570A2">
              <w:t>1.2x</w:t>
            </w:r>
          </w:p>
        </w:tc>
      </w:tr>
      <w:tr w:rsidR="002570A2" w:rsidRPr="002570A2" w14:paraId="6966C498" w14:textId="77777777">
        <w:trPr>
          <w:tblCellSpacing w:w="15" w:type="dxa"/>
        </w:trPr>
        <w:tc>
          <w:tcPr>
            <w:tcW w:w="0" w:type="auto"/>
            <w:vAlign w:val="center"/>
            <w:hideMark/>
          </w:tcPr>
          <w:p w14:paraId="72704247" w14:textId="77777777" w:rsidR="002570A2" w:rsidRPr="002570A2" w:rsidRDefault="002570A2" w:rsidP="002570A2">
            <w:r w:rsidRPr="002570A2">
              <w:t>$10,000 or more</w:t>
            </w:r>
          </w:p>
        </w:tc>
        <w:tc>
          <w:tcPr>
            <w:tcW w:w="0" w:type="auto"/>
            <w:vAlign w:val="center"/>
            <w:hideMark/>
          </w:tcPr>
          <w:p w14:paraId="57AB8053" w14:textId="77777777" w:rsidR="002570A2" w:rsidRPr="002570A2" w:rsidRDefault="002570A2" w:rsidP="002570A2">
            <w:r w:rsidRPr="002570A2">
              <w:t>1.1x</w:t>
            </w:r>
          </w:p>
        </w:tc>
      </w:tr>
    </w:tbl>
    <w:p w14:paraId="239278AE" w14:textId="77777777" w:rsidR="002570A2" w:rsidRPr="002570A2" w:rsidRDefault="002570A2" w:rsidP="002570A2"/>
    <w:p w14:paraId="61F382B4" w14:textId="77777777" w:rsidR="002570A2" w:rsidRDefault="002570A2" w:rsidP="00684A20"/>
    <w:sectPr w:rsidR="002570A2">
      <w:footerReference w:type="default" r:id="rId8"/>
      <w:type w:val="continuous"/>
      <w:pgSz w:w="12240" w:h="15840"/>
      <w:pgMar w:top="540" w:right="720" w:bottom="260" w:left="720" w:header="0" w:footer="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2278" w14:textId="77777777" w:rsidR="005C3C86" w:rsidRDefault="005C3C86">
      <w:r>
        <w:separator/>
      </w:r>
    </w:p>
  </w:endnote>
  <w:endnote w:type="continuationSeparator" w:id="0">
    <w:p w14:paraId="4F957883" w14:textId="77777777" w:rsidR="005C3C86" w:rsidRDefault="005C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2CD3" w14:textId="77777777" w:rsidR="00A844E1" w:rsidRDefault="00436305">
    <w:pPr>
      <w:pStyle w:val="BodyText"/>
      <w:spacing w:before="0" w:line="14" w:lineRule="auto"/>
      <w:rPr>
        <w:sz w:val="20"/>
      </w:rPr>
    </w:pPr>
    <w:r>
      <w:rPr>
        <w:noProof/>
        <w:sz w:val="20"/>
      </w:rPr>
      <mc:AlternateContent>
        <mc:Choice Requires="wps">
          <w:drawing>
            <wp:anchor distT="0" distB="0" distL="0" distR="0" simplePos="0" relativeHeight="487324672" behindDoc="1" locked="0" layoutInCell="1" allowOverlap="1" wp14:anchorId="286C6133" wp14:editId="60D9BA64">
              <wp:simplePos x="0" y="0"/>
              <wp:positionH relativeFrom="page">
                <wp:posOffset>177800</wp:posOffset>
              </wp:positionH>
              <wp:positionV relativeFrom="page">
                <wp:posOffset>9878727</wp:posOffset>
              </wp:positionV>
              <wp:extent cx="274447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4470" cy="153670"/>
                      </a:xfrm>
                      <a:prstGeom prst="rect">
                        <a:avLst/>
                      </a:prstGeom>
                    </wps:spPr>
                    <wps:txbx>
                      <w:txbxContent>
                        <w:p w14:paraId="006941CE" w14:textId="020589D5" w:rsidR="00A844E1" w:rsidRDefault="0003096C">
                          <w:pPr>
                            <w:pStyle w:val="BodyText"/>
                            <w:ind w:left="20"/>
                          </w:pPr>
                          <w:r>
                            <w:t>As of 4.17.2026</w:t>
                          </w:r>
                        </w:p>
                      </w:txbxContent>
                    </wps:txbx>
                    <wps:bodyPr wrap="square" lIns="0" tIns="0" rIns="0" bIns="0" rtlCol="0">
                      <a:noAutofit/>
                    </wps:bodyPr>
                  </wps:wsp>
                </a:graphicData>
              </a:graphic>
            </wp:anchor>
          </w:drawing>
        </mc:Choice>
        <mc:Fallback>
          <w:pict>
            <v:shapetype w14:anchorId="286C6133" id="_x0000_t202" coordsize="21600,21600" o:spt="202" path="m,l,21600r21600,l21600,xe">
              <v:stroke joinstyle="miter"/>
              <v:path gradientshapeok="t" o:connecttype="rect"/>
            </v:shapetype>
            <v:shape id="Textbox 1" o:spid="_x0000_s1026" type="#_x0000_t202" style="position:absolute;margin-left:14pt;margin-top:777.85pt;width:216.1pt;height:12.1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" filled="f" stroked="f">
              <v:textbox inset="0,0,0,0">
                <w:txbxContent>
                  <w:p w14:paraId="006941CE" w14:textId="020589D5" w:rsidR="00A844E1" w:rsidRDefault="0003096C">
                    <w:pPr>
                      <w:pStyle w:val="BodyText"/>
                      <w:ind w:left="20"/>
                    </w:pPr>
                    <w:r>
                      <w:t>As of 4.17.2026</w:t>
                    </w:r>
                  </w:p>
                </w:txbxContent>
              </v:textbox>
              <w10:wrap anchorx="page" anchory="page"/>
            </v:shape>
          </w:pict>
        </mc:Fallback>
      </mc:AlternateContent>
    </w:r>
    <w:r>
      <w:rPr>
        <w:noProof/>
        <w:sz w:val="20"/>
      </w:rPr>
      <mc:AlternateContent>
        <mc:Choice Requires="wps">
          <w:drawing>
            <wp:anchor distT="0" distB="0" distL="0" distR="0" simplePos="0" relativeHeight="487325184" behindDoc="1" locked="0" layoutInCell="1" allowOverlap="1" wp14:anchorId="1BD07881" wp14:editId="27ABAF1A">
              <wp:simplePos x="0" y="0"/>
              <wp:positionH relativeFrom="page">
                <wp:posOffset>6997700</wp:posOffset>
              </wp:positionH>
              <wp:positionV relativeFrom="page">
                <wp:posOffset>9878727</wp:posOffset>
              </wp:positionV>
              <wp:extent cx="6096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153670"/>
                      </a:xfrm>
                      <a:prstGeom prst="rect">
                        <a:avLst/>
                      </a:prstGeom>
                    </wps:spPr>
                    <wps:txbx>
                      <w:txbxContent>
                        <w:p w14:paraId="773A0D3E" w14:textId="77777777" w:rsidR="00A844E1" w:rsidRDefault="00436305">
                          <w:pPr>
                            <w:pStyle w:val="BodyText"/>
                            <w:ind w:left="20"/>
                          </w:pPr>
                          <w:r>
                            <w:t>Page</w:t>
                          </w:r>
                          <w:r>
                            <w:rPr>
                              <w:spacing w:val="-5"/>
                            </w:rPr>
                            <w:t xml:space="preserve"> </w:t>
                          </w:r>
                          <w:r>
                            <w:fldChar w:fldCharType="begin"/>
                          </w:r>
                          <w:r>
                            <w:instrText xml:space="preserve"> PAGE </w:instrText>
                          </w:r>
                          <w:r>
                            <w:fldChar w:fldCharType="separate"/>
                          </w:r>
                          <w:r>
                            <w:t>1</w:t>
                          </w:r>
                          <w:r>
                            <w:fldChar w:fldCharType="end"/>
                          </w:r>
                          <w:r>
                            <w:rPr>
                              <w:spacing w:val="-3"/>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1BD07881" id="Textbox 2" o:spid="_x0000_s1027" type="#_x0000_t202" style="position:absolute;margin-left:551pt;margin-top:777.85pt;width:48pt;height:12.1pt;z-index:-159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" filled="f" stroked="f">
              <v:textbox inset="0,0,0,0">
                <w:txbxContent>
                  <w:p w14:paraId="773A0D3E" w14:textId="77777777" w:rsidR="00A844E1" w:rsidRDefault="00436305">
                    <w:pPr>
                      <w:pStyle w:val="BodyText"/>
                      <w:ind w:left="20"/>
                    </w:pPr>
                    <w:r>
                      <w:t>Page</w:t>
                    </w:r>
                    <w:r>
                      <w:rPr>
                        <w:spacing w:val="-5"/>
                      </w:rPr>
                      <w:t xml:space="preserve"> </w:t>
                    </w:r>
                    <w:r>
                      <w:fldChar w:fldCharType="begin"/>
                    </w:r>
                    <w:r>
                      <w:instrText xml:space="preserve"> PAGE </w:instrText>
                    </w:r>
                    <w:r>
                      <w:fldChar w:fldCharType="separate"/>
                    </w:r>
                    <w:r>
                      <w:t>1</w:t>
                    </w:r>
                    <w:r>
                      <w:fldChar w:fldCharType="end"/>
                    </w:r>
                    <w:r>
                      <w:rPr>
                        <w:spacing w:val="-3"/>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4A4E" w14:textId="77777777" w:rsidR="005C3C86" w:rsidRDefault="005C3C86">
      <w:r>
        <w:separator/>
      </w:r>
    </w:p>
  </w:footnote>
  <w:footnote w:type="continuationSeparator" w:id="0">
    <w:p w14:paraId="0CF65F2A" w14:textId="77777777" w:rsidR="005C3C86" w:rsidRDefault="005C3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2DB6"/>
    <w:multiLevelType w:val="multilevel"/>
    <w:tmpl w:val="CE16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13639"/>
    <w:multiLevelType w:val="multilevel"/>
    <w:tmpl w:val="F330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52005"/>
    <w:multiLevelType w:val="multilevel"/>
    <w:tmpl w:val="23F4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A720B"/>
    <w:multiLevelType w:val="multilevel"/>
    <w:tmpl w:val="BFE8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505961">
    <w:abstractNumId w:val="2"/>
  </w:num>
  <w:num w:numId="2" w16cid:durableId="179055015">
    <w:abstractNumId w:val="1"/>
  </w:num>
  <w:num w:numId="3" w16cid:durableId="1345858347">
    <w:abstractNumId w:val="0"/>
  </w:num>
  <w:num w:numId="4" w16cid:durableId="556092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E1"/>
    <w:rsid w:val="0003096C"/>
    <w:rsid w:val="000861FB"/>
    <w:rsid w:val="00244573"/>
    <w:rsid w:val="002570A2"/>
    <w:rsid w:val="002B6C14"/>
    <w:rsid w:val="0031606C"/>
    <w:rsid w:val="00436305"/>
    <w:rsid w:val="0048426E"/>
    <w:rsid w:val="00542D5C"/>
    <w:rsid w:val="005C2DE9"/>
    <w:rsid w:val="005C3C86"/>
    <w:rsid w:val="00634701"/>
    <w:rsid w:val="00684A20"/>
    <w:rsid w:val="006C1BDB"/>
    <w:rsid w:val="007448EA"/>
    <w:rsid w:val="007641B3"/>
    <w:rsid w:val="00983D4F"/>
    <w:rsid w:val="009B193C"/>
    <w:rsid w:val="009C0453"/>
    <w:rsid w:val="009F579C"/>
    <w:rsid w:val="00A0262B"/>
    <w:rsid w:val="00A67095"/>
    <w:rsid w:val="00A844E1"/>
    <w:rsid w:val="00B86666"/>
    <w:rsid w:val="00BE41FD"/>
    <w:rsid w:val="00E67F41"/>
    <w:rsid w:val="00EB359D"/>
    <w:rsid w:val="00F36D75"/>
    <w:rsid w:val="00FC3946"/>
    <w:rsid w:val="00FF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B6679"/>
  <w15:docId w15:val="{D489AEB4-2245-4A56-9A61-B33F9DE8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right="42"/>
      <w:jc w:val="right"/>
      <w:outlineLvl w:val="0"/>
    </w:pPr>
    <w:rPr>
      <w:sz w:val="23"/>
      <w:szCs w:val="23"/>
    </w:rPr>
  </w:style>
  <w:style w:type="paragraph" w:styleId="Heading2">
    <w:name w:val="heading 2"/>
    <w:basedOn w:val="Normal"/>
    <w:next w:val="Normal"/>
    <w:link w:val="Heading2Char"/>
    <w:uiPriority w:val="9"/>
    <w:semiHidden/>
    <w:unhideWhenUsed/>
    <w:qFormat/>
    <w:rsid w:val="007448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6C14"/>
    <w:pPr>
      <w:tabs>
        <w:tab w:val="center" w:pos="4680"/>
        <w:tab w:val="right" w:pos="9360"/>
      </w:tabs>
    </w:pPr>
  </w:style>
  <w:style w:type="character" w:customStyle="1" w:styleId="HeaderChar">
    <w:name w:val="Header Char"/>
    <w:basedOn w:val="DefaultParagraphFont"/>
    <w:link w:val="Header"/>
    <w:uiPriority w:val="99"/>
    <w:rsid w:val="002B6C14"/>
    <w:rPr>
      <w:rFonts w:ascii="Arial" w:eastAsia="Arial" w:hAnsi="Arial" w:cs="Arial"/>
    </w:rPr>
  </w:style>
  <w:style w:type="paragraph" w:styleId="Footer">
    <w:name w:val="footer"/>
    <w:basedOn w:val="Normal"/>
    <w:link w:val="FooterChar"/>
    <w:uiPriority w:val="99"/>
    <w:unhideWhenUsed/>
    <w:rsid w:val="002B6C14"/>
    <w:pPr>
      <w:tabs>
        <w:tab w:val="center" w:pos="4680"/>
        <w:tab w:val="right" w:pos="9360"/>
      </w:tabs>
    </w:pPr>
  </w:style>
  <w:style w:type="character" w:customStyle="1" w:styleId="FooterChar">
    <w:name w:val="Footer Char"/>
    <w:basedOn w:val="DefaultParagraphFont"/>
    <w:link w:val="Footer"/>
    <w:uiPriority w:val="99"/>
    <w:rsid w:val="002B6C14"/>
    <w:rPr>
      <w:rFonts w:ascii="Arial" w:eastAsia="Arial" w:hAnsi="Arial" w:cs="Arial"/>
    </w:rPr>
  </w:style>
  <w:style w:type="character" w:customStyle="1" w:styleId="Heading2Char">
    <w:name w:val="Heading 2 Char"/>
    <w:basedOn w:val="DefaultParagraphFont"/>
    <w:link w:val="Heading2"/>
    <w:uiPriority w:val="9"/>
    <w:semiHidden/>
    <w:rsid w:val="007448E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Rickles</dc:creator>
  <cp:lastModifiedBy>Matt Rickles</cp:lastModifiedBy>
  <cp:revision>4</cp:revision>
  <dcterms:created xsi:type="dcterms:W3CDTF">2026-04-17T14:16:00Z</dcterms:created>
  <dcterms:modified xsi:type="dcterms:W3CDTF">2026-04-17T14:25:00Z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Apitron PDF Kit (www.apitron.com)</vt:lpwstr>
  </property>
  <property fmtid="{D5CDD505-2E9C-101B-9397-08002B2CF9AE}" pid="4" name="LID">
    <vt:lpwstr>23284425</vt:lpwstr>
  </property>
  <property fmtid="{D5CDD505-2E9C-101B-9397-08002B2CF9AE}" pid="5" name="LastSaved">
    <vt:filetime>2026-04-14T00:00:00Z</vt:filetime>
  </property>
  <property fmtid="{D5CDD505-2E9C-101B-9397-08002B2CF9AE}" pid="6" name="PDFVersion">
    <vt:lpwstr>1.7</vt:lpwstr>
  </property>
  <property fmtid="{D5CDD505-2E9C-101B-9397-08002B2CF9AE}" pid="7" name="Producer">
    <vt:lpwstr>Apitron PDF Kit (www.apitron.com)</vt:lpwstr>
  </property>
</Properties>
</file>