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C460" w14:textId="1BE946F4" w:rsidR="00F94E38" w:rsidRDefault="00AF05D1" w:rsidP="00AF05D1">
      <w:pPr>
        <w:spacing w:after="0" w:line="240" w:lineRule="auto"/>
        <w:jc w:val="center"/>
        <w:rPr>
          <w:rFonts w:ascii="Calibri" w:eastAsia="+mn-ea" w:hAnsi="Calibri" w:cs="Calibri"/>
          <w:b/>
          <w:bCs/>
          <w:color w:val="000000"/>
          <w:kern w:val="24"/>
          <w:sz w:val="28"/>
          <w:szCs w:val="28"/>
        </w:rPr>
      </w:pPr>
      <w:r w:rsidRPr="00AF05D1">
        <w:rPr>
          <w:rFonts w:ascii="Calibri" w:eastAsia="+mn-ea" w:hAnsi="Calibri" w:cs="Calibri"/>
          <w:b/>
          <w:bCs/>
          <w:color w:val="000000"/>
          <w:kern w:val="24"/>
          <w:sz w:val="28"/>
          <w:szCs w:val="28"/>
        </w:rPr>
        <w:t>Branch vs. Digital Banking</w:t>
      </w:r>
      <w:r w:rsidR="008571D8">
        <w:rPr>
          <w:rFonts w:ascii="Calibri" w:eastAsia="+mn-ea" w:hAnsi="Calibri" w:cs="Calibri"/>
          <w:b/>
          <w:bCs/>
          <w:color w:val="000000"/>
          <w:kern w:val="24"/>
          <w:sz w:val="28"/>
          <w:szCs w:val="28"/>
        </w:rPr>
        <w:t>/Closing Branches</w:t>
      </w:r>
    </w:p>
    <w:p w14:paraId="0CB4638B" w14:textId="1C179A53" w:rsidR="004D1BE2" w:rsidRDefault="004D1BE2" w:rsidP="004D1BE2">
      <w:pPr>
        <w:spacing w:after="0" w:line="240" w:lineRule="auto"/>
        <w:jc w:val="center"/>
        <w:rPr>
          <w:rFonts w:ascii="Calibri" w:eastAsia="+mn-ea" w:hAnsi="Calibri" w:cs="Calibri"/>
          <w:b/>
          <w:bCs/>
          <w:color w:val="000000"/>
          <w:kern w:val="24"/>
          <w:sz w:val="28"/>
          <w:szCs w:val="28"/>
        </w:rPr>
      </w:pPr>
      <w:r>
        <w:rPr>
          <w:rFonts w:ascii="Calibri" w:eastAsia="+mn-ea" w:hAnsi="Calibri" w:cs="Calibri"/>
          <w:b/>
          <w:bCs/>
          <w:color w:val="000000"/>
          <w:kern w:val="24"/>
          <w:sz w:val="28"/>
          <w:szCs w:val="28"/>
        </w:rPr>
        <w:t xml:space="preserve">A Penalty and an Opportunity </w:t>
      </w:r>
    </w:p>
    <w:p w14:paraId="75C0D581" w14:textId="77777777" w:rsidR="004D1BE2" w:rsidRDefault="004D1BE2" w:rsidP="004D1BE2">
      <w:pPr>
        <w:spacing w:after="0" w:line="240" w:lineRule="auto"/>
        <w:jc w:val="center"/>
        <w:rPr>
          <w:rFonts w:ascii="Calibri" w:eastAsia="+mn-ea" w:hAnsi="Calibri" w:cs="Calibri"/>
          <w:b/>
          <w:bCs/>
          <w:color w:val="000000"/>
          <w:kern w:val="24"/>
          <w:sz w:val="28"/>
          <w:szCs w:val="28"/>
        </w:rPr>
      </w:pPr>
    </w:p>
    <w:p w14:paraId="2C352F81" w14:textId="27E6BDA0" w:rsidR="00F94E38" w:rsidRPr="004D1BE2" w:rsidRDefault="00F94E38" w:rsidP="004D1BE2">
      <w:pPr>
        <w:spacing w:after="0" w:line="240" w:lineRule="auto"/>
        <w:rPr>
          <w:rFonts w:ascii="Calibri" w:eastAsia="+mn-ea" w:hAnsi="Calibri" w:cs="Calibri"/>
          <w:b/>
          <w:bCs/>
          <w:color w:val="000000"/>
          <w:kern w:val="24"/>
          <w:sz w:val="28"/>
          <w:szCs w:val="28"/>
        </w:rPr>
      </w:pPr>
      <w:r w:rsidRPr="00C03412">
        <w:rPr>
          <w:rFonts w:ascii="Calibri" w:eastAsia="+mn-ea" w:hAnsi="Calibri" w:cs="Calibri"/>
          <w:color w:val="000000"/>
          <w:kern w:val="24"/>
          <w:sz w:val="24"/>
          <w:szCs w:val="24"/>
        </w:rPr>
        <w:t>Overheard from the fly on the wall “we can save a lot of money by closing branches so let’s make sure that we run</w:t>
      </w:r>
      <w:r w:rsidR="00E207C9" w:rsidRPr="00C03412">
        <w:rPr>
          <w:rFonts w:ascii="Calibri" w:eastAsia="+mn-ea" w:hAnsi="Calibri" w:cs="Calibri"/>
          <w:color w:val="000000"/>
          <w:kern w:val="24"/>
          <w:sz w:val="24"/>
          <w:szCs w:val="24"/>
        </w:rPr>
        <w:t xml:space="preserve"> this bank</w:t>
      </w:r>
      <w:r w:rsidRPr="00C03412">
        <w:rPr>
          <w:rFonts w:ascii="Calibri" w:eastAsia="+mn-ea" w:hAnsi="Calibri" w:cs="Calibri"/>
          <w:color w:val="000000"/>
          <w:kern w:val="24"/>
          <w:sz w:val="24"/>
          <w:szCs w:val="24"/>
        </w:rPr>
        <w:t xml:space="preserve"> as efficiently as we can</w:t>
      </w:r>
      <w:r w:rsidR="00AF05D1">
        <w:rPr>
          <w:rFonts w:ascii="Calibri" w:eastAsia="+mn-ea" w:hAnsi="Calibri" w:cs="Calibri"/>
          <w:color w:val="000000"/>
          <w:kern w:val="24"/>
          <w:sz w:val="24"/>
          <w:szCs w:val="24"/>
        </w:rPr>
        <w:t xml:space="preserve">”. </w:t>
      </w:r>
      <w:r w:rsidRPr="00C03412">
        <w:rPr>
          <w:rFonts w:ascii="Calibri" w:eastAsia="+mn-ea" w:hAnsi="Calibri" w:cs="Calibri"/>
          <w:color w:val="000000"/>
          <w:kern w:val="24"/>
          <w:sz w:val="24"/>
          <w:szCs w:val="24"/>
        </w:rPr>
        <w:t xml:space="preserve"> Then the branch folks added</w:t>
      </w:r>
      <w:r w:rsidR="00E207C9" w:rsidRPr="00C03412">
        <w:rPr>
          <w:rFonts w:ascii="Calibri" w:eastAsia="+mn-ea" w:hAnsi="Calibri" w:cs="Calibri"/>
          <w:color w:val="000000"/>
          <w:kern w:val="24"/>
          <w:sz w:val="24"/>
          <w:szCs w:val="24"/>
        </w:rPr>
        <w:t xml:space="preserve">, </w:t>
      </w:r>
      <w:r w:rsidRPr="00C03412">
        <w:rPr>
          <w:rFonts w:ascii="Calibri" w:eastAsia="+mn-ea" w:hAnsi="Calibri" w:cs="Calibri"/>
          <w:color w:val="000000"/>
          <w:kern w:val="24"/>
          <w:sz w:val="24"/>
          <w:szCs w:val="24"/>
        </w:rPr>
        <w:t>“no, no, our business still relies on the personal touch with our</w:t>
      </w:r>
      <w:r w:rsidR="00E207C9" w:rsidRPr="00C03412">
        <w:rPr>
          <w:rFonts w:ascii="Calibri" w:eastAsia="+mn-ea" w:hAnsi="Calibri" w:cs="Calibri"/>
          <w:color w:val="000000"/>
          <w:kern w:val="24"/>
          <w:sz w:val="24"/>
          <w:szCs w:val="24"/>
        </w:rPr>
        <w:t xml:space="preserve"> customers</w:t>
      </w:r>
      <w:r w:rsidRPr="00DC4952">
        <w:rPr>
          <w:rFonts w:ascii="Calibri" w:eastAsia="+mn-ea" w:hAnsi="Calibri" w:cs="Calibri"/>
          <w:b/>
          <w:bCs/>
          <w:color w:val="000000"/>
          <w:kern w:val="24"/>
          <w:sz w:val="24"/>
          <w:szCs w:val="24"/>
        </w:rPr>
        <w:t xml:space="preserve">”.  </w:t>
      </w:r>
      <w:r w:rsidR="00220EFE" w:rsidRPr="00DC4952">
        <w:rPr>
          <w:rFonts w:ascii="Calibri" w:hAnsi="Calibri" w:cs="Calibri"/>
          <w:b/>
          <w:bCs/>
          <w:sz w:val="24"/>
          <w:szCs w:val="24"/>
        </w:rPr>
        <w:t>So</w:t>
      </w:r>
      <w:r w:rsidR="00A95950" w:rsidRPr="00DC4952">
        <w:rPr>
          <w:rFonts w:ascii="Calibri" w:hAnsi="Calibri" w:cs="Calibri"/>
          <w:b/>
          <w:bCs/>
          <w:sz w:val="24"/>
          <w:szCs w:val="24"/>
        </w:rPr>
        <w:t>, t</w:t>
      </w:r>
      <w:r w:rsidR="00E207C9" w:rsidRPr="00DC4952">
        <w:rPr>
          <w:rFonts w:ascii="Calibri" w:hAnsi="Calibri" w:cs="Calibri"/>
          <w:b/>
          <w:bCs/>
          <w:sz w:val="24"/>
          <w:szCs w:val="24"/>
        </w:rPr>
        <w:t xml:space="preserve">he argument continues with no </w:t>
      </w:r>
      <w:r w:rsidR="00A95950" w:rsidRPr="00DC4952">
        <w:rPr>
          <w:rFonts w:ascii="Calibri" w:hAnsi="Calibri" w:cs="Calibri"/>
          <w:b/>
          <w:bCs/>
          <w:sz w:val="24"/>
          <w:szCs w:val="24"/>
        </w:rPr>
        <w:t>facts from the customer – the ultimate judge.</w:t>
      </w:r>
      <w:r w:rsidR="00A95950" w:rsidRPr="00C03412">
        <w:rPr>
          <w:rFonts w:ascii="Calibri" w:hAnsi="Calibri" w:cs="Calibri"/>
          <w:b/>
          <w:bCs/>
          <w:sz w:val="24"/>
          <w:szCs w:val="24"/>
        </w:rPr>
        <w:t xml:space="preserve">   </w:t>
      </w:r>
      <w:r w:rsidRPr="00C03412">
        <w:rPr>
          <w:rFonts w:ascii="Calibri" w:eastAsia="+mn-ea" w:hAnsi="Calibri" w:cs="Calibri"/>
          <w:color w:val="000000"/>
          <w:kern w:val="24"/>
          <w:sz w:val="24"/>
          <w:szCs w:val="24"/>
        </w:rPr>
        <w:t>So</w:t>
      </w:r>
      <w:r w:rsidR="00F848C0" w:rsidRPr="00C03412">
        <w:rPr>
          <w:rFonts w:ascii="Calibri" w:eastAsia="+mn-ea" w:hAnsi="Calibri" w:cs="Calibri"/>
          <w:color w:val="000000"/>
          <w:kern w:val="24"/>
          <w:sz w:val="24"/>
          <w:szCs w:val="24"/>
        </w:rPr>
        <w:t>,</w:t>
      </w:r>
      <w:r w:rsidRPr="00C03412">
        <w:rPr>
          <w:rFonts w:ascii="Calibri" w:eastAsia="+mn-ea" w:hAnsi="Calibri" w:cs="Calibri"/>
          <w:color w:val="000000"/>
          <w:kern w:val="24"/>
          <w:sz w:val="24"/>
          <w:szCs w:val="24"/>
        </w:rPr>
        <w:t xml:space="preserve"> who is right</w:t>
      </w:r>
      <w:r w:rsidR="00F848C0" w:rsidRPr="00C03412">
        <w:rPr>
          <w:rFonts w:ascii="Calibri" w:eastAsia="+mn-ea" w:hAnsi="Calibri" w:cs="Calibri"/>
          <w:color w:val="000000"/>
          <w:kern w:val="24"/>
          <w:sz w:val="24"/>
          <w:szCs w:val="24"/>
        </w:rPr>
        <w:t xml:space="preserve">?  </w:t>
      </w:r>
      <w:r w:rsidRPr="00C03412">
        <w:rPr>
          <w:rFonts w:ascii="Calibri" w:eastAsia="+mn-ea" w:hAnsi="Calibri" w:cs="Calibri"/>
          <w:color w:val="000000"/>
          <w:kern w:val="24"/>
          <w:sz w:val="24"/>
          <w:szCs w:val="24"/>
        </w:rPr>
        <w:t xml:space="preserve"> </w:t>
      </w:r>
      <w:r w:rsidR="00F848C0" w:rsidRPr="00C03412">
        <w:rPr>
          <w:rFonts w:ascii="Calibri" w:eastAsia="+mn-ea" w:hAnsi="Calibri" w:cs="Calibri"/>
          <w:color w:val="000000"/>
          <w:kern w:val="24"/>
          <w:sz w:val="24"/>
          <w:szCs w:val="24"/>
        </w:rPr>
        <w:t xml:space="preserve">  That’s where Foresight Research comes in.  We surveyed </w:t>
      </w:r>
      <w:r w:rsidR="008571D8">
        <w:rPr>
          <w:rFonts w:ascii="Calibri" w:eastAsia="+mn-ea" w:hAnsi="Calibri" w:cs="Calibri"/>
          <w:color w:val="000000"/>
          <w:kern w:val="24"/>
          <w:sz w:val="24"/>
          <w:szCs w:val="24"/>
        </w:rPr>
        <w:t xml:space="preserve">3,000 </w:t>
      </w:r>
      <w:r w:rsidR="00F848C0" w:rsidRPr="00C03412">
        <w:rPr>
          <w:rFonts w:ascii="Calibri" w:eastAsia="+mn-ea" w:hAnsi="Calibri" w:cs="Calibri"/>
          <w:color w:val="000000"/>
          <w:kern w:val="24"/>
          <w:sz w:val="24"/>
          <w:szCs w:val="24"/>
        </w:rPr>
        <w:t xml:space="preserve">banking consumers </w:t>
      </w:r>
      <w:r w:rsidR="008571D8">
        <w:rPr>
          <w:rFonts w:ascii="Calibri" w:eastAsia="+mn-ea" w:hAnsi="Calibri" w:cs="Calibri"/>
          <w:color w:val="000000"/>
          <w:kern w:val="24"/>
          <w:sz w:val="24"/>
          <w:szCs w:val="24"/>
        </w:rPr>
        <w:t xml:space="preserve">and credit union members </w:t>
      </w:r>
      <w:r w:rsidR="00F848C0" w:rsidRPr="00C03412">
        <w:rPr>
          <w:rFonts w:ascii="Calibri" w:eastAsia="+mn-ea" w:hAnsi="Calibri" w:cs="Calibri"/>
          <w:color w:val="000000"/>
          <w:kern w:val="24"/>
          <w:sz w:val="24"/>
          <w:szCs w:val="24"/>
        </w:rPr>
        <w:t xml:space="preserve">to measure the banking habits of consumers in </w:t>
      </w:r>
      <w:r w:rsidR="008571D8">
        <w:rPr>
          <w:rFonts w:ascii="Calibri" w:eastAsia="+mn-ea" w:hAnsi="Calibri" w:cs="Calibri"/>
          <w:color w:val="000000"/>
          <w:kern w:val="24"/>
          <w:sz w:val="24"/>
          <w:szCs w:val="24"/>
        </w:rPr>
        <w:t>the Midwest</w:t>
      </w:r>
      <w:r w:rsidR="00DC4952">
        <w:rPr>
          <w:rFonts w:ascii="Calibri" w:eastAsia="+mn-ea" w:hAnsi="Calibri" w:cs="Calibri"/>
          <w:color w:val="000000"/>
          <w:kern w:val="24"/>
          <w:sz w:val="24"/>
          <w:szCs w:val="24"/>
        </w:rPr>
        <w:t xml:space="preserve"> and the Southeast.</w:t>
      </w:r>
    </w:p>
    <w:p w14:paraId="294FDD4C" w14:textId="77777777" w:rsidR="00F94E38" w:rsidRPr="00C03412" w:rsidRDefault="00F94E38" w:rsidP="00F94E38">
      <w:pPr>
        <w:spacing w:after="0" w:line="240" w:lineRule="auto"/>
        <w:rPr>
          <w:rFonts w:ascii="Calibri" w:eastAsia="+mn-ea" w:hAnsi="Calibri" w:cs="Calibri"/>
          <w:b/>
          <w:bCs/>
          <w:color w:val="000000"/>
          <w:kern w:val="24"/>
          <w:sz w:val="24"/>
          <w:szCs w:val="24"/>
          <w:u w:val="single"/>
        </w:rPr>
      </w:pPr>
    </w:p>
    <w:p w14:paraId="59A960B7" w14:textId="5A05643D" w:rsidR="00F94E38" w:rsidRPr="00C03412" w:rsidRDefault="00F94E38" w:rsidP="00F94E38">
      <w:pPr>
        <w:spacing w:after="0" w:line="240" w:lineRule="auto"/>
        <w:rPr>
          <w:rFonts w:ascii="Calibri" w:eastAsia="+mn-ea" w:hAnsi="Calibri" w:cs="Calibri"/>
          <w:b/>
          <w:bCs/>
          <w:color w:val="000000"/>
          <w:kern w:val="24"/>
          <w:sz w:val="24"/>
          <w:szCs w:val="24"/>
          <w:u w:val="single"/>
        </w:rPr>
      </w:pPr>
      <w:r w:rsidRPr="00F94E38">
        <w:rPr>
          <w:rFonts w:ascii="Calibri" w:eastAsia="+mn-ea" w:hAnsi="Calibri" w:cs="Calibri"/>
          <w:b/>
          <w:bCs/>
          <w:color w:val="000000"/>
          <w:kern w:val="24"/>
          <w:sz w:val="24"/>
          <w:szCs w:val="24"/>
          <w:u w:val="single"/>
        </w:rPr>
        <w:t>Users of Branch and Digital Banking</w:t>
      </w:r>
      <w:r w:rsidR="00F848C0" w:rsidRPr="00C03412">
        <w:rPr>
          <w:rFonts w:ascii="Calibri" w:eastAsia="+mn-ea" w:hAnsi="Calibri" w:cs="Calibri"/>
          <w:b/>
          <w:bCs/>
          <w:color w:val="000000"/>
          <w:kern w:val="24"/>
          <w:sz w:val="24"/>
          <w:szCs w:val="24"/>
          <w:u w:val="single"/>
        </w:rPr>
        <w:t xml:space="preserve"> </w:t>
      </w:r>
    </w:p>
    <w:p w14:paraId="045430F7" w14:textId="77777777" w:rsidR="00F94E38" w:rsidRPr="00C03412" w:rsidRDefault="00F94E38" w:rsidP="00F94E38">
      <w:pPr>
        <w:spacing w:after="0" w:line="240" w:lineRule="auto"/>
        <w:rPr>
          <w:rFonts w:ascii="Calibri" w:eastAsia="+mn-ea" w:hAnsi="Calibri" w:cs="Calibri"/>
          <w:b/>
          <w:bCs/>
          <w:color w:val="000000"/>
          <w:kern w:val="24"/>
          <w:sz w:val="24"/>
          <w:szCs w:val="24"/>
          <w:u w:val="single"/>
        </w:rPr>
      </w:pPr>
    </w:p>
    <w:p w14:paraId="738D0548" w14:textId="70BA3147" w:rsidR="004C48CD" w:rsidRPr="00C03412" w:rsidRDefault="00F94E38" w:rsidP="00F94E38">
      <w:pPr>
        <w:spacing w:after="0" w:line="240" w:lineRule="auto"/>
        <w:rPr>
          <w:rFonts w:ascii="Calibri" w:eastAsia="+mn-ea" w:hAnsi="Calibri" w:cs="Calibri"/>
          <w:color w:val="000000"/>
          <w:kern w:val="24"/>
          <w:sz w:val="24"/>
          <w:szCs w:val="24"/>
        </w:rPr>
      </w:pPr>
      <w:r w:rsidRPr="00F94E38">
        <w:rPr>
          <w:rFonts w:ascii="Calibri" w:eastAsia="+mn-ea" w:hAnsi="Calibri" w:cs="Calibri"/>
          <w:color w:val="000000"/>
          <w:kern w:val="24"/>
          <w:sz w:val="24"/>
          <w:szCs w:val="24"/>
        </w:rPr>
        <w:t xml:space="preserve">Mobile Apps are the predominant mode of banking access across </w:t>
      </w:r>
      <w:r w:rsidR="006656D2">
        <w:rPr>
          <w:rFonts w:ascii="Calibri" w:eastAsia="+mn-ea" w:hAnsi="Calibri" w:cs="Calibri"/>
          <w:color w:val="000000"/>
          <w:kern w:val="24"/>
          <w:sz w:val="24"/>
          <w:szCs w:val="24"/>
        </w:rPr>
        <w:t>the Midwest</w:t>
      </w:r>
      <w:r w:rsidR="00DC4952">
        <w:rPr>
          <w:rFonts w:ascii="Calibri" w:eastAsia="+mn-ea" w:hAnsi="Calibri" w:cs="Calibri"/>
          <w:color w:val="000000"/>
          <w:kern w:val="24"/>
          <w:sz w:val="24"/>
          <w:szCs w:val="24"/>
        </w:rPr>
        <w:t xml:space="preserve"> and southeast</w:t>
      </w:r>
      <w:r w:rsidRPr="00F94E38">
        <w:rPr>
          <w:rFonts w:ascii="Calibri" w:eastAsia="+mn-ea" w:hAnsi="Calibri" w:cs="Calibri"/>
          <w:color w:val="000000"/>
          <w:kern w:val="24"/>
          <w:sz w:val="24"/>
          <w:szCs w:val="24"/>
        </w:rPr>
        <w:t>, followed closely by online banking (using the bank or credit union’s website). While branch banking is used at least occasionally by 4 out of 5 customers or members, only 13% are frequent branch users.   Gen X and Millennials customers/members most often access banking services via mobile app, while customers/members over age 55 are more likely to use online banking services. High income customers are more likely to use digital as well as traditional banking services, likely the result of greater need, more accounts</w:t>
      </w:r>
      <w:r w:rsidR="004C48CD" w:rsidRPr="00C03412">
        <w:rPr>
          <w:rFonts w:ascii="Calibri" w:eastAsia="+mn-ea" w:hAnsi="Calibri" w:cs="Calibri"/>
          <w:color w:val="000000"/>
          <w:kern w:val="24"/>
          <w:sz w:val="24"/>
          <w:szCs w:val="24"/>
        </w:rPr>
        <w:t xml:space="preserve">, </w:t>
      </w:r>
      <w:r w:rsidRPr="00F94E38">
        <w:rPr>
          <w:rFonts w:ascii="Calibri" w:eastAsia="+mn-ea" w:hAnsi="Calibri" w:cs="Calibri"/>
          <w:color w:val="000000"/>
          <w:kern w:val="24"/>
          <w:sz w:val="24"/>
          <w:szCs w:val="24"/>
        </w:rPr>
        <w:t>and more transactions.</w:t>
      </w:r>
      <w:r w:rsidR="004C48CD" w:rsidRPr="00C03412">
        <w:rPr>
          <w:rFonts w:ascii="Calibri" w:eastAsia="+mn-ea" w:hAnsi="Calibri" w:cs="Calibri"/>
          <w:color w:val="000000"/>
          <w:kern w:val="24"/>
          <w:sz w:val="24"/>
          <w:szCs w:val="24"/>
        </w:rPr>
        <w:t xml:space="preserve">  So overall, score one for the </w:t>
      </w:r>
      <w:r w:rsidR="006F1F43">
        <w:rPr>
          <w:rFonts w:ascii="Calibri" w:eastAsia="+mn-ea" w:hAnsi="Calibri" w:cs="Calibri"/>
          <w:color w:val="000000"/>
          <w:kern w:val="24"/>
          <w:sz w:val="24"/>
          <w:szCs w:val="24"/>
        </w:rPr>
        <w:t>cost-saving</w:t>
      </w:r>
      <w:r w:rsidR="00DC4952">
        <w:rPr>
          <w:rFonts w:ascii="Calibri" w:eastAsia="+mn-ea" w:hAnsi="Calibri" w:cs="Calibri"/>
          <w:color w:val="000000"/>
          <w:kern w:val="24"/>
          <w:sz w:val="24"/>
          <w:szCs w:val="24"/>
        </w:rPr>
        <w:t xml:space="preserve"> proponents </w:t>
      </w:r>
      <w:r w:rsidR="004C48CD" w:rsidRPr="00C03412">
        <w:rPr>
          <w:rFonts w:ascii="Calibri" w:eastAsia="+mn-ea" w:hAnsi="Calibri" w:cs="Calibri"/>
          <w:color w:val="000000"/>
          <w:kern w:val="24"/>
          <w:sz w:val="24"/>
          <w:szCs w:val="24"/>
        </w:rPr>
        <w:t xml:space="preserve">who would point to the diminished use of branches as a good reason to close some and reduce costs.  </w:t>
      </w:r>
    </w:p>
    <w:p w14:paraId="087054DA" w14:textId="77777777" w:rsidR="004C48CD" w:rsidRPr="00C03412" w:rsidRDefault="004C48CD" w:rsidP="00F94E38">
      <w:pPr>
        <w:spacing w:after="0" w:line="240" w:lineRule="auto"/>
        <w:rPr>
          <w:rFonts w:ascii="Calibri" w:eastAsia="+mn-ea" w:hAnsi="Calibri" w:cs="Calibri"/>
          <w:color w:val="000000"/>
          <w:kern w:val="24"/>
          <w:sz w:val="24"/>
          <w:szCs w:val="24"/>
        </w:rPr>
      </w:pPr>
    </w:p>
    <w:p w14:paraId="5ADE401D" w14:textId="77777777" w:rsidR="001368E5" w:rsidRDefault="00F94E38" w:rsidP="00F94E38">
      <w:pPr>
        <w:spacing w:after="0" w:line="240" w:lineRule="auto"/>
        <w:rPr>
          <w:rFonts w:ascii="Calibri" w:eastAsia="+mn-ea" w:hAnsi="Calibri" w:cs="Calibri"/>
          <w:b/>
          <w:bCs/>
          <w:color w:val="000000"/>
          <w:kern w:val="24"/>
          <w:sz w:val="24"/>
          <w:szCs w:val="24"/>
          <w:u w:val="single"/>
        </w:rPr>
      </w:pPr>
      <w:r w:rsidRPr="00F94E38">
        <w:rPr>
          <w:rFonts w:ascii="Calibri" w:eastAsia="+mn-ea" w:hAnsi="Calibri" w:cs="Calibri"/>
          <w:b/>
          <w:bCs/>
          <w:color w:val="000000"/>
          <w:kern w:val="24"/>
          <w:sz w:val="24"/>
          <w:szCs w:val="24"/>
          <w:u w:val="single"/>
        </w:rPr>
        <w:t>Expectations and Satisfaction with Branch and Digital Access</w:t>
      </w:r>
    </w:p>
    <w:p w14:paraId="44411DA6" w14:textId="10ED0D92" w:rsidR="00220EFE" w:rsidRPr="00C03412" w:rsidRDefault="00F94E38" w:rsidP="00F94E38">
      <w:pPr>
        <w:spacing w:after="0" w:line="240" w:lineRule="auto"/>
        <w:rPr>
          <w:rFonts w:ascii="Calibri" w:eastAsia="+mn-ea" w:hAnsi="Calibri" w:cs="Calibri"/>
          <w:color w:val="000000"/>
          <w:kern w:val="24"/>
          <w:sz w:val="24"/>
          <w:szCs w:val="24"/>
        </w:rPr>
      </w:pPr>
      <w:r w:rsidRPr="00F94E38">
        <w:rPr>
          <w:rFonts w:ascii="Calibri" w:eastAsia="+mn-ea" w:hAnsi="Calibri" w:cs="Calibri"/>
          <w:b/>
          <w:bCs/>
          <w:color w:val="000000"/>
          <w:kern w:val="24"/>
          <w:sz w:val="24"/>
          <w:szCs w:val="24"/>
        </w:rPr>
        <w:br/>
      </w:r>
      <w:r w:rsidRPr="00F94E38">
        <w:rPr>
          <w:rFonts w:ascii="Calibri" w:eastAsia="+mn-ea" w:hAnsi="Calibri" w:cs="Calibri"/>
          <w:color w:val="000000"/>
          <w:kern w:val="24"/>
          <w:sz w:val="24"/>
          <w:szCs w:val="24"/>
        </w:rPr>
        <w:t xml:space="preserve">Frequent users of digital have significantly higher expectations than frequent users of branch banking.  This is </w:t>
      </w:r>
      <w:r w:rsidR="006F1F43" w:rsidRPr="00F94E38">
        <w:rPr>
          <w:rFonts w:ascii="Calibri" w:eastAsia="+mn-ea" w:hAnsi="Calibri" w:cs="Calibri"/>
          <w:color w:val="000000"/>
          <w:kern w:val="24"/>
          <w:sz w:val="24"/>
          <w:szCs w:val="24"/>
        </w:rPr>
        <w:t>particularly</w:t>
      </w:r>
      <w:r w:rsidRPr="00F94E38">
        <w:rPr>
          <w:rFonts w:ascii="Calibri" w:eastAsia="+mn-ea" w:hAnsi="Calibri" w:cs="Calibri"/>
          <w:color w:val="000000"/>
          <w:kern w:val="24"/>
          <w:sz w:val="24"/>
          <w:szCs w:val="24"/>
        </w:rPr>
        <w:t xml:space="preserve"> true when it comes to fees, fraud protection and handling problems promptly and easily.   Additionally, satisfaction levels are also higher among frequent users of digital </w:t>
      </w:r>
      <w:r w:rsidR="00220EFE" w:rsidRPr="00C03412">
        <w:rPr>
          <w:rFonts w:ascii="Calibri" w:eastAsia="+mn-ea" w:hAnsi="Calibri" w:cs="Calibri"/>
          <w:color w:val="000000"/>
          <w:kern w:val="24"/>
          <w:sz w:val="24"/>
          <w:szCs w:val="24"/>
        </w:rPr>
        <w:t xml:space="preserve">compared to </w:t>
      </w:r>
      <w:r w:rsidRPr="00F94E38">
        <w:rPr>
          <w:rFonts w:ascii="Calibri" w:eastAsia="+mn-ea" w:hAnsi="Calibri" w:cs="Calibri"/>
          <w:color w:val="000000"/>
          <w:kern w:val="24"/>
          <w:sz w:val="24"/>
          <w:szCs w:val="24"/>
        </w:rPr>
        <w:t xml:space="preserve">frequent users of branch banking, </w:t>
      </w:r>
      <w:r w:rsidR="00220EFE" w:rsidRPr="00C03412">
        <w:rPr>
          <w:rFonts w:ascii="Calibri" w:eastAsia="+mn-ea" w:hAnsi="Calibri" w:cs="Calibri"/>
          <w:color w:val="000000"/>
          <w:kern w:val="24"/>
          <w:sz w:val="24"/>
          <w:szCs w:val="24"/>
        </w:rPr>
        <w:t xml:space="preserve">except for </w:t>
      </w:r>
      <w:r w:rsidRPr="00F94E38">
        <w:rPr>
          <w:rFonts w:ascii="Calibri" w:eastAsia="+mn-ea" w:hAnsi="Calibri" w:cs="Calibri"/>
          <w:color w:val="000000"/>
          <w:kern w:val="24"/>
          <w:sz w:val="24"/>
          <w:szCs w:val="24"/>
        </w:rPr>
        <w:t xml:space="preserve">“offers good advice”.  On that measure branch banking and digital banking are </w:t>
      </w:r>
      <w:r w:rsidR="006F1F43" w:rsidRPr="00F94E38">
        <w:rPr>
          <w:rFonts w:ascii="Calibri" w:eastAsia="+mn-ea" w:hAnsi="Calibri" w:cs="Calibri"/>
          <w:color w:val="000000"/>
          <w:kern w:val="24"/>
          <w:sz w:val="24"/>
          <w:szCs w:val="24"/>
        </w:rPr>
        <w:t>equivalent,</w:t>
      </w:r>
      <w:r w:rsidRPr="00F94E38">
        <w:rPr>
          <w:rFonts w:ascii="Calibri" w:eastAsia="+mn-ea" w:hAnsi="Calibri" w:cs="Calibri"/>
          <w:color w:val="000000"/>
          <w:kern w:val="24"/>
          <w:sz w:val="24"/>
          <w:szCs w:val="24"/>
        </w:rPr>
        <w:t xml:space="preserve"> suggesting the need for personal interaction</w:t>
      </w:r>
      <w:r w:rsidR="004C48CD" w:rsidRPr="00C03412">
        <w:rPr>
          <w:rFonts w:ascii="Calibri" w:eastAsia="+mn-ea" w:hAnsi="Calibri" w:cs="Calibri"/>
          <w:color w:val="000000"/>
          <w:kern w:val="24"/>
          <w:sz w:val="24"/>
          <w:szCs w:val="24"/>
        </w:rPr>
        <w:t xml:space="preserve"> for offering financial advice.</w:t>
      </w:r>
      <w:r w:rsidRPr="00F94E38">
        <w:rPr>
          <w:rFonts w:ascii="Calibri" w:eastAsia="+mn-ea" w:hAnsi="Calibri" w:cs="Calibri"/>
          <w:color w:val="000000"/>
          <w:kern w:val="24"/>
          <w:sz w:val="24"/>
          <w:szCs w:val="24"/>
        </w:rPr>
        <w:t xml:space="preserve"> </w:t>
      </w:r>
      <w:r w:rsidR="00220EFE" w:rsidRPr="00C03412">
        <w:rPr>
          <w:rFonts w:ascii="Calibri" w:eastAsia="+mn-ea" w:hAnsi="Calibri" w:cs="Calibri"/>
          <w:color w:val="000000"/>
          <w:kern w:val="24"/>
          <w:sz w:val="24"/>
          <w:szCs w:val="24"/>
        </w:rPr>
        <w:t>That said, the banking footprint is still important especially for consultive services which are not acceptable at this point through digital or A</w:t>
      </w:r>
      <w:r w:rsidR="004C48CD" w:rsidRPr="00C03412">
        <w:rPr>
          <w:rFonts w:ascii="Calibri" w:eastAsia="+mn-ea" w:hAnsi="Calibri" w:cs="Calibri"/>
          <w:color w:val="000000"/>
          <w:kern w:val="24"/>
          <w:sz w:val="24"/>
          <w:szCs w:val="24"/>
        </w:rPr>
        <w:t xml:space="preserve">I.  And when it comes to the call center – that mode of interaction is not </w:t>
      </w:r>
      <w:r w:rsidR="002A1095" w:rsidRPr="00C03412">
        <w:rPr>
          <w:rFonts w:ascii="Calibri" w:eastAsia="+mn-ea" w:hAnsi="Calibri" w:cs="Calibri"/>
          <w:color w:val="000000"/>
          <w:kern w:val="24"/>
          <w:sz w:val="24"/>
          <w:szCs w:val="24"/>
        </w:rPr>
        <w:t>a complete substitute for</w:t>
      </w:r>
      <w:r w:rsidR="004C48CD" w:rsidRPr="00C03412">
        <w:rPr>
          <w:rFonts w:ascii="Calibri" w:eastAsia="+mn-ea" w:hAnsi="Calibri" w:cs="Calibri"/>
          <w:color w:val="000000"/>
          <w:kern w:val="24"/>
          <w:sz w:val="24"/>
          <w:szCs w:val="24"/>
        </w:rPr>
        <w:t xml:space="preserve"> </w:t>
      </w:r>
      <w:r w:rsidR="002A1095" w:rsidRPr="00C03412">
        <w:rPr>
          <w:rFonts w:ascii="Calibri" w:eastAsia="+mn-ea" w:hAnsi="Calibri" w:cs="Calibri"/>
          <w:color w:val="000000"/>
          <w:kern w:val="24"/>
          <w:sz w:val="24"/>
          <w:szCs w:val="24"/>
        </w:rPr>
        <w:t>the personal branch banking experience</w:t>
      </w:r>
      <w:r w:rsidR="00DC4952">
        <w:rPr>
          <w:rFonts w:ascii="Calibri" w:eastAsia="+mn-ea" w:hAnsi="Calibri" w:cs="Calibri"/>
          <w:color w:val="000000"/>
          <w:kern w:val="24"/>
          <w:sz w:val="24"/>
          <w:szCs w:val="24"/>
        </w:rPr>
        <w:t xml:space="preserve"> either.</w:t>
      </w:r>
    </w:p>
    <w:p w14:paraId="5E6A2E6C" w14:textId="77777777" w:rsidR="00220EFE" w:rsidRPr="00C03412" w:rsidRDefault="00220EFE" w:rsidP="00F94E38">
      <w:pPr>
        <w:spacing w:after="0" w:line="240" w:lineRule="auto"/>
        <w:rPr>
          <w:rFonts w:ascii="Calibri" w:eastAsia="+mn-ea" w:hAnsi="Calibri" w:cs="Calibri"/>
          <w:color w:val="000000"/>
          <w:kern w:val="24"/>
          <w:sz w:val="24"/>
          <w:szCs w:val="24"/>
        </w:rPr>
      </w:pPr>
    </w:p>
    <w:p w14:paraId="05F624DB" w14:textId="26D99451" w:rsidR="00336524" w:rsidRDefault="00F94E38" w:rsidP="00F94E38">
      <w:pPr>
        <w:spacing w:after="0" w:line="240" w:lineRule="auto"/>
        <w:rPr>
          <w:rFonts w:ascii="Calibri" w:eastAsia="+mn-ea" w:hAnsi="Calibri" w:cs="Calibri"/>
          <w:color w:val="000000"/>
          <w:kern w:val="24"/>
          <w:sz w:val="24"/>
          <w:szCs w:val="24"/>
        </w:rPr>
      </w:pPr>
      <w:r w:rsidRPr="00F94E38">
        <w:rPr>
          <w:rFonts w:ascii="Calibri" w:eastAsia="+mn-ea" w:hAnsi="Calibri" w:cs="Calibri"/>
          <w:color w:val="000000"/>
          <w:kern w:val="24"/>
          <w:sz w:val="24"/>
          <w:szCs w:val="24"/>
        </w:rPr>
        <w:t>Among frequent users of branches, satisfaction generally exceeds expectations</w:t>
      </w:r>
      <w:r w:rsidR="00DC4952">
        <w:rPr>
          <w:rFonts w:ascii="Calibri" w:eastAsia="+mn-ea" w:hAnsi="Calibri" w:cs="Calibri"/>
          <w:color w:val="000000"/>
          <w:kern w:val="24"/>
          <w:sz w:val="24"/>
          <w:szCs w:val="24"/>
        </w:rPr>
        <w:t xml:space="preserve">. </w:t>
      </w:r>
      <w:r w:rsidRPr="00F94E38">
        <w:rPr>
          <w:rFonts w:ascii="Calibri" w:eastAsia="+mn-ea" w:hAnsi="Calibri" w:cs="Calibri"/>
          <w:color w:val="000000"/>
          <w:kern w:val="24"/>
          <w:sz w:val="24"/>
          <w:szCs w:val="24"/>
        </w:rPr>
        <w:t xml:space="preserve">More than 8 out of 10 frequent users of branch banking are extremely or very satisfied </w:t>
      </w:r>
      <w:r w:rsidR="00220EFE" w:rsidRPr="00C03412">
        <w:rPr>
          <w:rFonts w:ascii="Calibri" w:eastAsia="+mn-ea" w:hAnsi="Calibri" w:cs="Calibri"/>
          <w:color w:val="000000"/>
          <w:kern w:val="24"/>
          <w:sz w:val="24"/>
          <w:szCs w:val="24"/>
        </w:rPr>
        <w:t xml:space="preserve">overall </w:t>
      </w:r>
      <w:r w:rsidRPr="00F94E38">
        <w:rPr>
          <w:rFonts w:ascii="Calibri" w:eastAsia="+mn-ea" w:hAnsi="Calibri" w:cs="Calibri"/>
          <w:color w:val="000000"/>
          <w:kern w:val="24"/>
          <w:sz w:val="24"/>
          <w:szCs w:val="24"/>
        </w:rPr>
        <w:t>with their financial institution</w:t>
      </w:r>
      <w:r w:rsidR="002A1095" w:rsidRPr="00C03412">
        <w:rPr>
          <w:rFonts w:ascii="Calibri" w:eastAsia="+mn-ea" w:hAnsi="Calibri" w:cs="Calibri"/>
          <w:color w:val="000000"/>
          <w:kern w:val="24"/>
          <w:sz w:val="24"/>
          <w:szCs w:val="24"/>
        </w:rPr>
        <w:t>.  So, with a few exceptions,</w:t>
      </w:r>
      <w:r w:rsidR="00C03412" w:rsidRPr="00C03412">
        <w:rPr>
          <w:rFonts w:ascii="Calibri" w:eastAsia="+mn-ea" w:hAnsi="Calibri" w:cs="Calibri"/>
          <w:color w:val="000000"/>
          <w:kern w:val="24"/>
          <w:sz w:val="24"/>
          <w:szCs w:val="24"/>
        </w:rPr>
        <w:t xml:space="preserve"> </w:t>
      </w:r>
      <w:r w:rsidR="002A1095" w:rsidRPr="00C03412">
        <w:rPr>
          <w:rFonts w:ascii="Calibri" w:eastAsia="+mn-ea" w:hAnsi="Calibri" w:cs="Calibri"/>
          <w:color w:val="000000"/>
          <w:kern w:val="24"/>
          <w:sz w:val="24"/>
          <w:szCs w:val="24"/>
        </w:rPr>
        <w:t xml:space="preserve">digital does seem to be </w:t>
      </w:r>
      <w:r w:rsidR="006F1F43" w:rsidRPr="00C03412">
        <w:rPr>
          <w:rFonts w:ascii="Calibri" w:eastAsia="+mn-ea" w:hAnsi="Calibri" w:cs="Calibri"/>
          <w:color w:val="000000"/>
          <w:kern w:val="24"/>
          <w:sz w:val="24"/>
          <w:szCs w:val="24"/>
        </w:rPr>
        <w:t>a workable</w:t>
      </w:r>
      <w:r w:rsidR="002A1095" w:rsidRPr="00C03412">
        <w:rPr>
          <w:rFonts w:ascii="Calibri" w:eastAsia="+mn-ea" w:hAnsi="Calibri" w:cs="Calibri"/>
          <w:color w:val="000000"/>
          <w:kern w:val="24"/>
          <w:sz w:val="24"/>
          <w:szCs w:val="24"/>
        </w:rPr>
        <w:t xml:space="preserve"> substitute for customer satisfaction</w:t>
      </w:r>
      <w:r w:rsidR="00336524">
        <w:rPr>
          <w:rFonts w:ascii="Calibri" w:eastAsia="+mn-ea" w:hAnsi="Calibri" w:cs="Calibri"/>
          <w:color w:val="000000"/>
          <w:kern w:val="24"/>
          <w:sz w:val="24"/>
          <w:szCs w:val="24"/>
        </w:rPr>
        <w:t xml:space="preserve"> – with a few exceptions</w:t>
      </w:r>
      <w:r w:rsidR="002A1095" w:rsidRPr="00C03412">
        <w:rPr>
          <w:rFonts w:ascii="Calibri" w:eastAsia="+mn-ea" w:hAnsi="Calibri" w:cs="Calibri"/>
          <w:color w:val="000000"/>
          <w:kern w:val="24"/>
          <w:sz w:val="24"/>
          <w:szCs w:val="24"/>
        </w:rPr>
        <w:t>.</w:t>
      </w:r>
    </w:p>
    <w:p w14:paraId="5EE7D40F" w14:textId="25CB5E87" w:rsidR="002A1095" w:rsidRPr="00C03412" w:rsidRDefault="00F94E38" w:rsidP="00F94E38">
      <w:pPr>
        <w:spacing w:after="0" w:line="240" w:lineRule="auto"/>
        <w:rPr>
          <w:rFonts w:ascii="Calibri" w:eastAsia="+mn-ea" w:hAnsi="Calibri" w:cs="Calibri"/>
          <w:b/>
          <w:bCs/>
          <w:color w:val="000000"/>
          <w:kern w:val="24"/>
          <w:sz w:val="24"/>
          <w:szCs w:val="24"/>
          <w:u w:val="single"/>
        </w:rPr>
      </w:pPr>
      <w:r w:rsidRPr="00F94E38">
        <w:rPr>
          <w:rFonts w:ascii="Calibri" w:eastAsia="+mn-ea" w:hAnsi="Calibri" w:cs="Calibri"/>
          <w:color w:val="FF0000"/>
          <w:kern w:val="24"/>
          <w:sz w:val="24"/>
          <w:szCs w:val="24"/>
        </w:rPr>
        <w:br/>
      </w:r>
      <w:r w:rsidRPr="00F94E38">
        <w:rPr>
          <w:rFonts w:ascii="Calibri" w:eastAsia="+mn-ea" w:hAnsi="Calibri" w:cs="Calibri"/>
          <w:b/>
          <w:bCs/>
          <w:color w:val="000000"/>
          <w:kern w:val="24"/>
          <w:sz w:val="24"/>
          <w:szCs w:val="24"/>
          <w:u w:val="single"/>
        </w:rPr>
        <w:t>Closing Branches</w:t>
      </w:r>
    </w:p>
    <w:p w14:paraId="77B9A53C" w14:textId="77777777" w:rsidR="00336524" w:rsidRDefault="00F94E38" w:rsidP="00336524">
      <w:pPr>
        <w:spacing w:after="0" w:line="240" w:lineRule="auto"/>
        <w:rPr>
          <w:rFonts w:ascii="Calibri" w:eastAsia="+mn-ea" w:hAnsi="Calibri" w:cs="Calibri"/>
          <w:color w:val="000000"/>
          <w:kern w:val="24"/>
          <w:sz w:val="24"/>
          <w:szCs w:val="24"/>
        </w:rPr>
      </w:pPr>
      <w:r w:rsidRPr="00F94E38">
        <w:rPr>
          <w:rFonts w:ascii="Calibri" w:eastAsia="+mn-ea" w:hAnsi="Calibri" w:cs="Calibri"/>
          <w:b/>
          <w:bCs/>
          <w:color w:val="000000"/>
          <w:kern w:val="24"/>
          <w:sz w:val="24"/>
          <w:szCs w:val="24"/>
        </w:rPr>
        <w:br/>
      </w:r>
      <w:r w:rsidR="002A1095" w:rsidRPr="00C03412">
        <w:rPr>
          <w:rFonts w:ascii="Calibri" w:eastAsia="+mn-ea" w:hAnsi="Calibri" w:cs="Calibri"/>
          <w:color w:val="000000"/>
          <w:kern w:val="24"/>
          <w:sz w:val="24"/>
          <w:szCs w:val="24"/>
        </w:rPr>
        <w:t xml:space="preserve">Now let’s turn to the possible penalties for branch closings.  </w:t>
      </w:r>
      <w:r w:rsidRPr="00F94E38">
        <w:rPr>
          <w:rFonts w:ascii="Calibri" w:eastAsia="+mn-ea" w:hAnsi="Calibri" w:cs="Calibri"/>
          <w:color w:val="000000"/>
          <w:kern w:val="24"/>
          <w:sz w:val="24"/>
          <w:szCs w:val="24"/>
        </w:rPr>
        <w:t xml:space="preserve">With the infrequent use of branches and the high cost of maintaining branches it is tempting to close some branches.  </w:t>
      </w:r>
      <w:r w:rsidR="00336524" w:rsidRPr="00F94E38">
        <w:rPr>
          <w:rFonts w:ascii="Calibri" w:eastAsia="+mn-ea" w:hAnsi="Calibri" w:cs="Calibri"/>
          <w:color w:val="000000"/>
          <w:kern w:val="24"/>
          <w:sz w:val="24"/>
          <w:szCs w:val="24"/>
        </w:rPr>
        <w:lastRenderedPageBreak/>
        <w:t>Respondent</w:t>
      </w:r>
      <w:r w:rsidR="00336524" w:rsidRPr="00C03412">
        <w:rPr>
          <w:rFonts w:ascii="Calibri" w:eastAsia="+mn-ea" w:hAnsi="Calibri" w:cs="Calibri"/>
          <w:color w:val="000000"/>
          <w:kern w:val="24"/>
          <w:sz w:val="24"/>
          <w:szCs w:val="24"/>
        </w:rPr>
        <w:t>s</w:t>
      </w:r>
      <w:r w:rsidR="00336524" w:rsidRPr="00F94E38">
        <w:rPr>
          <w:rFonts w:ascii="Calibri" w:eastAsia="+mn-ea" w:hAnsi="Calibri" w:cs="Calibri"/>
          <w:color w:val="000000"/>
          <w:kern w:val="24"/>
          <w:sz w:val="24"/>
          <w:szCs w:val="24"/>
        </w:rPr>
        <w:t xml:space="preserve"> were asked about switching financial institution if a branch was no longer conveniently located</w:t>
      </w:r>
      <w:r w:rsidR="00336524">
        <w:rPr>
          <w:rFonts w:ascii="Calibri" w:eastAsia="+mn-ea" w:hAnsi="Calibri" w:cs="Calibri"/>
          <w:color w:val="000000"/>
          <w:kern w:val="24"/>
          <w:sz w:val="24"/>
          <w:szCs w:val="24"/>
        </w:rPr>
        <w:t xml:space="preserve"> – drive time no more than 10 minutes.</w:t>
      </w:r>
    </w:p>
    <w:p w14:paraId="2804F718" w14:textId="77777777" w:rsidR="00336524" w:rsidRDefault="00336524" w:rsidP="00336524">
      <w:pPr>
        <w:spacing w:after="0" w:line="240" w:lineRule="auto"/>
        <w:rPr>
          <w:rFonts w:ascii="Calibri" w:eastAsia="+mn-ea" w:hAnsi="Calibri" w:cs="Calibri"/>
          <w:color w:val="000000"/>
          <w:kern w:val="24"/>
          <w:sz w:val="24"/>
          <w:szCs w:val="24"/>
        </w:rPr>
      </w:pPr>
    </w:p>
    <w:p w14:paraId="24C86D41" w14:textId="618816C7" w:rsidR="002A1095" w:rsidRPr="00C03412" w:rsidRDefault="002A1095" w:rsidP="00F94E38">
      <w:pPr>
        <w:spacing w:after="0" w:line="240" w:lineRule="auto"/>
        <w:rPr>
          <w:rFonts w:ascii="Calibri" w:eastAsia="+mn-ea" w:hAnsi="Calibri" w:cs="Calibri"/>
          <w:color w:val="000000"/>
          <w:kern w:val="24"/>
          <w:sz w:val="24"/>
          <w:szCs w:val="24"/>
        </w:rPr>
      </w:pPr>
    </w:p>
    <w:p w14:paraId="765AA8ED" w14:textId="77777777" w:rsidR="002A1095" w:rsidRPr="00C03412" w:rsidRDefault="002A1095" w:rsidP="00F94E38">
      <w:pPr>
        <w:spacing w:after="0" w:line="240" w:lineRule="auto"/>
        <w:rPr>
          <w:rFonts w:ascii="Calibri" w:eastAsia="+mn-ea" w:hAnsi="Calibri" w:cs="Calibri"/>
          <w:color w:val="000000"/>
          <w:kern w:val="24"/>
          <w:sz w:val="24"/>
          <w:szCs w:val="24"/>
        </w:rPr>
      </w:pPr>
    </w:p>
    <w:p w14:paraId="617AE3D2" w14:textId="0143E2A2" w:rsidR="002A1095" w:rsidRPr="00C03412" w:rsidRDefault="002A1095" w:rsidP="00F94E38">
      <w:pPr>
        <w:spacing w:after="0" w:line="240" w:lineRule="auto"/>
        <w:rPr>
          <w:rFonts w:ascii="Calibri" w:eastAsia="+mn-ea" w:hAnsi="Calibri" w:cs="Calibri"/>
          <w:color w:val="000000"/>
          <w:kern w:val="24"/>
          <w:sz w:val="24"/>
          <w:szCs w:val="24"/>
        </w:rPr>
      </w:pPr>
      <w:r w:rsidRPr="00C03412">
        <w:rPr>
          <w:rFonts w:ascii="Calibri" w:hAnsi="Calibri" w:cs="Calibri"/>
          <w:noProof/>
          <w:sz w:val="24"/>
          <w:szCs w:val="24"/>
        </w:rPr>
        <w:drawing>
          <wp:inline distT="0" distB="0" distL="0" distR="0" wp14:anchorId="245A074B" wp14:editId="4AF69124">
            <wp:extent cx="5381625" cy="2314575"/>
            <wp:effectExtent l="0" t="0" r="9525" b="9525"/>
            <wp:docPr id="3" name="Chart 3">
              <a:extLst xmlns:a="http://schemas.openxmlformats.org/drawingml/2006/main">
                <a:ext uri="{FF2B5EF4-FFF2-40B4-BE49-F238E27FC236}">
                  <a16:creationId xmlns:a16="http://schemas.microsoft.com/office/drawing/2014/main" id="{3B1E804E-6918-4193-B7D9-BDB7673ED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061D208" w14:textId="77777777" w:rsidR="002A1095" w:rsidRPr="00C03412" w:rsidRDefault="002A1095" w:rsidP="00F94E38">
      <w:pPr>
        <w:spacing w:after="0" w:line="240" w:lineRule="auto"/>
        <w:rPr>
          <w:rFonts w:ascii="Calibri" w:eastAsia="+mn-ea" w:hAnsi="Calibri" w:cs="Calibri"/>
          <w:color w:val="000000"/>
          <w:kern w:val="24"/>
          <w:sz w:val="24"/>
          <w:szCs w:val="24"/>
        </w:rPr>
      </w:pPr>
    </w:p>
    <w:p w14:paraId="0F7A2130" w14:textId="77777777" w:rsidR="002A1095" w:rsidRPr="00C03412" w:rsidRDefault="002A1095" w:rsidP="00F94E38">
      <w:pPr>
        <w:spacing w:after="0" w:line="240" w:lineRule="auto"/>
        <w:rPr>
          <w:rFonts w:ascii="Calibri" w:eastAsia="+mn-ea" w:hAnsi="Calibri" w:cs="Calibri"/>
          <w:color w:val="000000"/>
          <w:kern w:val="24"/>
          <w:sz w:val="24"/>
          <w:szCs w:val="24"/>
        </w:rPr>
      </w:pPr>
    </w:p>
    <w:p w14:paraId="70D886AA" w14:textId="03C16355" w:rsidR="004706A5" w:rsidRPr="00C03412" w:rsidRDefault="00183BE7" w:rsidP="002A1095">
      <w:pPr>
        <w:spacing w:after="0" w:line="240" w:lineRule="auto"/>
        <w:rPr>
          <w:rFonts w:ascii="Calibri" w:hAnsi="Calibri" w:cs="Calibri"/>
          <w:sz w:val="24"/>
          <w:szCs w:val="24"/>
        </w:rPr>
      </w:pPr>
      <w:r>
        <w:rPr>
          <w:rFonts w:ascii="Calibri" w:eastAsia="+mn-ea" w:hAnsi="Calibri" w:cs="Calibri"/>
          <w:color w:val="000000"/>
          <w:kern w:val="24"/>
          <w:sz w:val="24"/>
          <w:szCs w:val="24"/>
        </w:rPr>
        <w:t xml:space="preserve">About </w:t>
      </w:r>
      <w:r w:rsidR="00F94E38" w:rsidRPr="00F94E38">
        <w:rPr>
          <w:rFonts w:ascii="Calibri" w:eastAsia="+mn-ea" w:hAnsi="Calibri" w:cs="Calibri"/>
          <w:color w:val="000000"/>
          <w:kern w:val="24"/>
          <w:sz w:val="24"/>
          <w:szCs w:val="24"/>
        </w:rPr>
        <w:t xml:space="preserve">17% reported that they would switch to another financial institution.  Additionally, high digital users (often with high incomes) were just as likely to switch as high users of branches. It seems that high digital use does not result in </w:t>
      </w:r>
      <w:r w:rsidR="00C03412">
        <w:rPr>
          <w:rFonts w:ascii="Calibri" w:eastAsia="+mn-ea" w:hAnsi="Calibri" w:cs="Calibri"/>
          <w:color w:val="000000"/>
          <w:kern w:val="24"/>
          <w:sz w:val="24"/>
          <w:szCs w:val="24"/>
        </w:rPr>
        <w:t>significantly reduced intended switching</w:t>
      </w:r>
      <w:r w:rsidR="00AF05D1">
        <w:rPr>
          <w:rFonts w:ascii="Calibri" w:eastAsia="+mn-ea" w:hAnsi="Calibri" w:cs="Calibri"/>
          <w:color w:val="000000"/>
          <w:kern w:val="24"/>
          <w:sz w:val="24"/>
          <w:szCs w:val="24"/>
        </w:rPr>
        <w:t>.</w:t>
      </w:r>
      <w:r w:rsidR="00F94E38" w:rsidRPr="00F94E38">
        <w:rPr>
          <w:rFonts w:ascii="Calibri" w:eastAsia="+mn-ea" w:hAnsi="Calibri" w:cs="Calibri"/>
          <w:color w:val="000000"/>
          <w:kern w:val="24"/>
          <w:sz w:val="24"/>
          <w:szCs w:val="24"/>
        </w:rPr>
        <w:t xml:space="preserve"> The reason - </w:t>
      </w:r>
      <w:r w:rsidR="00F94E38" w:rsidRPr="00336524">
        <w:rPr>
          <w:rFonts w:ascii="Calibri" w:eastAsia="+mn-ea" w:hAnsi="Calibri" w:cs="Calibri"/>
          <w:b/>
          <w:bCs/>
          <w:color w:val="000000"/>
          <w:kern w:val="24"/>
          <w:sz w:val="24"/>
          <w:szCs w:val="24"/>
        </w:rPr>
        <w:t>3 out of 4 frequent digital users say that a conveniently located branch is extremely or very important</w:t>
      </w:r>
      <w:r w:rsidR="00336524">
        <w:rPr>
          <w:rFonts w:ascii="Calibri" w:eastAsia="+mn-ea" w:hAnsi="Calibri" w:cs="Calibri"/>
          <w:b/>
          <w:bCs/>
          <w:color w:val="000000"/>
          <w:kern w:val="24"/>
          <w:sz w:val="24"/>
          <w:szCs w:val="24"/>
        </w:rPr>
        <w:t xml:space="preserve"> even though they are not visiting branches frequently</w:t>
      </w:r>
      <w:r w:rsidR="002A1095" w:rsidRPr="00336524">
        <w:rPr>
          <w:rFonts w:ascii="Calibri" w:eastAsia="+mn-ea" w:hAnsi="Calibri" w:cs="Calibri"/>
          <w:b/>
          <w:bCs/>
          <w:color w:val="000000"/>
          <w:kern w:val="24"/>
          <w:sz w:val="24"/>
          <w:szCs w:val="24"/>
        </w:rPr>
        <w:t>.</w:t>
      </w:r>
      <w:r w:rsidR="002A1095" w:rsidRPr="00C03412">
        <w:rPr>
          <w:rFonts w:ascii="Calibri" w:eastAsia="+mn-ea" w:hAnsi="Calibri" w:cs="Calibri"/>
          <w:color w:val="000000"/>
          <w:kern w:val="24"/>
          <w:sz w:val="24"/>
          <w:szCs w:val="24"/>
        </w:rPr>
        <w:t xml:space="preserve">  </w:t>
      </w:r>
      <w:r w:rsidR="00C03412">
        <w:rPr>
          <w:rFonts w:ascii="Calibri" w:eastAsia="+mn-ea" w:hAnsi="Calibri" w:cs="Calibri"/>
          <w:color w:val="000000"/>
          <w:kern w:val="24"/>
          <w:sz w:val="24"/>
          <w:szCs w:val="24"/>
        </w:rPr>
        <w:t>H</w:t>
      </w:r>
      <w:r w:rsidR="002A1095" w:rsidRPr="00C03412">
        <w:rPr>
          <w:rFonts w:ascii="Calibri" w:eastAsia="+mn-ea" w:hAnsi="Calibri" w:cs="Calibri"/>
          <w:color w:val="000000"/>
          <w:kern w:val="24"/>
          <w:sz w:val="24"/>
          <w:szCs w:val="24"/>
        </w:rPr>
        <w:t>andling problems</w:t>
      </w:r>
      <w:r w:rsidR="00C03412">
        <w:rPr>
          <w:rFonts w:ascii="Calibri" w:eastAsia="+mn-ea" w:hAnsi="Calibri" w:cs="Calibri"/>
          <w:color w:val="000000"/>
          <w:kern w:val="24"/>
          <w:sz w:val="24"/>
          <w:szCs w:val="24"/>
        </w:rPr>
        <w:t xml:space="preserve"> easily</w:t>
      </w:r>
      <w:r w:rsidR="002A1095" w:rsidRPr="00C03412">
        <w:rPr>
          <w:rFonts w:ascii="Calibri" w:eastAsia="+mn-ea" w:hAnsi="Calibri" w:cs="Calibri"/>
          <w:color w:val="000000"/>
          <w:kern w:val="24"/>
          <w:sz w:val="24"/>
          <w:szCs w:val="24"/>
        </w:rPr>
        <w:t xml:space="preserve"> or offering financial advice, two very </w:t>
      </w:r>
      <w:r w:rsidR="00C03412" w:rsidRPr="00C03412">
        <w:rPr>
          <w:rFonts w:ascii="Calibri" w:eastAsia="+mn-ea" w:hAnsi="Calibri" w:cs="Calibri"/>
          <w:color w:val="000000"/>
          <w:kern w:val="24"/>
          <w:sz w:val="24"/>
          <w:szCs w:val="24"/>
        </w:rPr>
        <w:t>high-level</w:t>
      </w:r>
      <w:r w:rsidR="002A1095" w:rsidRPr="00C03412">
        <w:rPr>
          <w:rFonts w:ascii="Calibri" w:eastAsia="+mn-ea" w:hAnsi="Calibri" w:cs="Calibri"/>
          <w:color w:val="000000"/>
          <w:kern w:val="24"/>
          <w:sz w:val="24"/>
          <w:szCs w:val="24"/>
        </w:rPr>
        <w:t xml:space="preserve"> expectations</w:t>
      </w:r>
      <w:r w:rsidR="00C03412">
        <w:rPr>
          <w:rFonts w:ascii="Calibri" w:eastAsia="+mn-ea" w:hAnsi="Calibri" w:cs="Calibri"/>
          <w:color w:val="000000"/>
          <w:kern w:val="24"/>
          <w:sz w:val="24"/>
          <w:szCs w:val="24"/>
        </w:rPr>
        <w:t xml:space="preserve">, </w:t>
      </w:r>
      <w:r w:rsidR="002A1095" w:rsidRPr="00C03412">
        <w:rPr>
          <w:rFonts w:ascii="Calibri" w:eastAsia="+mn-ea" w:hAnsi="Calibri" w:cs="Calibri"/>
          <w:color w:val="000000"/>
          <w:kern w:val="24"/>
          <w:sz w:val="24"/>
          <w:szCs w:val="24"/>
        </w:rPr>
        <w:t>are not well served with digital</w:t>
      </w:r>
      <w:r w:rsidR="00C03412">
        <w:rPr>
          <w:rFonts w:ascii="Calibri" w:eastAsia="+mn-ea" w:hAnsi="Calibri" w:cs="Calibri"/>
          <w:color w:val="000000"/>
          <w:kern w:val="24"/>
          <w:sz w:val="24"/>
          <w:szCs w:val="24"/>
        </w:rPr>
        <w:t xml:space="preserve"> or the call center.  So, branches still matter but they may be reimagined in the future.  </w:t>
      </w:r>
      <w:r w:rsidR="006F1F43">
        <w:rPr>
          <w:rFonts w:ascii="Calibri" w:eastAsia="+mn-ea" w:hAnsi="Calibri" w:cs="Calibri"/>
          <w:color w:val="000000"/>
          <w:kern w:val="24"/>
          <w:sz w:val="24"/>
          <w:szCs w:val="24"/>
        </w:rPr>
        <w:t>For competitors in the local market this is a major opportunity.  Closing a branch is a major disruption in the local market.</w:t>
      </w:r>
      <w:r w:rsidR="00F94E38" w:rsidRPr="00C03412">
        <w:rPr>
          <w:rFonts w:ascii="Calibri" w:eastAsia="+mn-ea" w:hAnsi="Calibri" w:cs="Calibri"/>
          <w:b/>
          <w:bCs/>
          <w:color w:val="000000"/>
          <w:kern w:val="24"/>
          <w:sz w:val="24"/>
          <w:szCs w:val="24"/>
        </w:rPr>
        <w:br/>
      </w:r>
    </w:p>
    <w:p w14:paraId="7318FB00" w14:textId="5E04D906" w:rsidR="00C03412" w:rsidRDefault="00183BE7" w:rsidP="00776BED">
      <w:pPr>
        <w:tabs>
          <w:tab w:val="left" w:pos="503"/>
        </w:tabs>
        <w:rPr>
          <w:rFonts w:ascii="Calibri" w:hAnsi="Calibri" w:cs="Calibri"/>
          <w:sz w:val="24"/>
          <w:szCs w:val="24"/>
        </w:rPr>
      </w:pPr>
      <w:r>
        <w:rPr>
          <w:rFonts w:ascii="Calibri" w:hAnsi="Calibri" w:cs="Calibri"/>
          <w:sz w:val="24"/>
          <w:szCs w:val="24"/>
        </w:rPr>
        <w:t xml:space="preserve">This information comes from surveys of 3,000 banking customers and credit union </w:t>
      </w:r>
      <w:r w:rsidR="00F7524C">
        <w:rPr>
          <w:rFonts w:ascii="Calibri" w:hAnsi="Calibri" w:cs="Calibri"/>
          <w:sz w:val="24"/>
          <w:szCs w:val="24"/>
        </w:rPr>
        <w:t xml:space="preserve">members in </w:t>
      </w:r>
      <w:r>
        <w:rPr>
          <w:rFonts w:ascii="Calibri" w:hAnsi="Calibri" w:cs="Calibri"/>
          <w:sz w:val="24"/>
          <w:szCs w:val="24"/>
        </w:rPr>
        <w:t>11</w:t>
      </w:r>
      <w:r w:rsidR="00F7524C">
        <w:rPr>
          <w:rFonts w:ascii="Calibri" w:hAnsi="Calibri" w:cs="Calibri"/>
          <w:sz w:val="24"/>
          <w:szCs w:val="24"/>
        </w:rPr>
        <w:t xml:space="preserve"> </w:t>
      </w:r>
      <w:r>
        <w:rPr>
          <w:rFonts w:ascii="Calibri" w:hAnsi="Calibri" w:cs="Calibri"/>
          <w:sz w:val="24"/>
          <w:szCs w:val="24"/>
        </w:rPr>
        <w:t>markets across the Midwes</w:t>
      </w:r>
      <w:r w:rsidR="008F1641">
        <w:rPr>
          <w:rFonts w:ascii="Calibri" w:hAnsi="Calibri" w:cs="Calibri"/>
          <w:sz w:val="24"/>
          <w:szCs w:val="24"/>
        </w:rPr>
        <w:t>t and the Southeast</w:t>
      </w:r>
      <w:r w:rsidR="005539DE">
        <w:rPr>
          <w:rFonts w:ascii="Calibri" w:hAnsi="Calibri" w:cs="Calibri"/>
          <w:sz w:val="24"/>
          <w:szCs w:val="24"/>
        </w:rPr>
        <w:t>.</w:t>
      </w:r>
      <w:r>
        <w:rPr>
          <w:rFonts w:ascii="Calibri" w:hAnsi="Calibri" w:cs="Calibri"/>
          <w:sz w:val="24"/>
          <w:szCs w:val="24"/>
        </w:rPr>
        <w:t xml:space="preserve"> </w:t>
      </w:r>
      <w:r w:rsidR="008F1641">
        <w:rPr>
          <w:rFonts w:ascii="Calibri" w:hAnsi="Calibri" w:cs="Calibri"/>
          <w:sz w:val="24"/>
          <w:szCs w:val="24"/>
        </w:rPr>
        <w:t xml:space="preserve"> </w:t>
      </w:r>
      <w:r w:rsidR="005539DE">
        <w:rPr>
          <w:rFonts w:ascii="Calibri" w:hAnsi="Calibri" w:cs="Calibri"/>
          <w:sz w:val="24"/>
          <w:szCs w:val="24"/>
        </w:rPr>
        <w:t>Foresight</w:t>
      </w:r>
      <w:r w:rsidR="00B8377F" w:rsidRPr="00C03412">
        <w:rPr>
          <w:rFonts w:ascii="Calibri" w:hAnsi="Calibri" w:cs="Calibri"/>
          <w:sz w:val="24"/>
          <w:szCs w:val="24"/>
        </w:rPr>
        <w:t xml:space="preserve"> </w:t>
      </w:r>
      <w:r w:rsidR="008F1641">
        <w:rPr>
          <w:rFonts w:ascii="Calibri" w:hAnsi="Calibri" w:cs="Calibri"/>
          <w:sz w:val="24"/>
          <w:szCs w:val="24"/>
        </w:rPr>
        <w:t xml:space="preserve">Research </w:t>
      </w:r>
      <w:r w:rsidR="00B8377F" w:rsidRPr="00C03412">
        <w:rPr>
          <w:rFonts w:ascii="Calibri" w:hAnsi="Calibri" w:cs="Calibri"/>
          <w:sz w:val="24"/>
          <w:szCs w:val="24"/>
        </w:rPr>
        <w:t>ha</w:t>
      </w:r>
      <w:r w:rsidR="00F7524C">
        <w:rPr>
          <w:rFonts w:ascii="Calibri" w:hAnsi="Calibri" w:cs="Calibri"/>
          <w:sz w:val="24"/>
          <w:szCs w:val="24"/>
        </w:rPr>
        <w:t>s</w:t>
      </w:r>
      <w:r w:rsidR="00B8377F" w:rsidRPr="00C03412">
        <w:rPr>
          <w:rFonts w:ascii="Calibri" w:hAnsi="Calibri" w:cs="Calibri"/>
          <w:sz w:val="24"/>
          <w:szCs w:val="24"/>
        </w:rPr>
        <w:t xml:space="preserve"> been working with many Fortune 500 companies for over 20 years.  </w:t>
      </w:r>
      <w:r w:rsidR="00F7524C">
        <w:rPr>
          <w:rFonts w:ascii="Calibri" w:hAnsi="Calibri" w:cs="Calibri"/>
          <w:sz w:val="24"/>
          <w:szCs w:val="24"/>
        </w:rPr>
        <w:t>They</w:t>
      </w:r>
      <w:r w:rsidR="002A1095" w:rsidRPr="00C03412">
        <w:rPr>
          <w:rFonts w:ascii="Calibri" w:hAnsi="Calibri" w:cs="Calibri"/>
          <w:sz w:val="24"/>
          <w:szCs w:val="24"/>
        </w:rPr>
        <w:t xml:space="preserve"> annually survey about 15,000 banking consumers in 60 markets</w:t>
      </w:r>
      <w:r w:rsidR="00C03412" w:rsidRPr="00C03412">
        <w:rPr>
          <w:rFonts w:ascii="Calibri" w:hAnsi="Calibri" w:cs="Calibri"/>
          <w:sz w:val="24"/>
          <w:szCs w:val="24"/>
        </w:rPr>
        <w:t xml:space="preserve">.  </w:t>
      </w:r>
      <w:r w:rsidR="008F1641">
        <w:rPr>
          <w:rFonts w:ascii="Calibri" w:hAnsi="Calibri" w:cs="Calibri"/>
          <w:sz w:val="24"/>
          <w:szCs w:val="24"/>
        </w:rPr>
        <w:t xml:space="preserve">This database can be data mined to produce data analytics and consumer insights on hundreds of banking topics – such as this one. This approach is far more cost effective and faster than typical survey research.  </w:t>
      </w:r>
      <w:r w:rsidR="00B8377F" w:rsidRPr="00C03412">
        <w:rPr>
          <w:rFonts w:ascii="Calibri" w:hAnsi="Calibri" w:cs="Calibri"/>
          <w:sz w:val="24"/>
          <w:szCs w:val="24"/>
        </w:rPr>
        <w:t xml:space="preserve">Give </w:t>
      </w:r>
      <w:r w:rsidR="00F7524C">
        <w:rPr>
          <w:rFonts w:ascii="Calibri" w:hAnsi="Calibri" w:cs="Calibri"/>
          <w:sz w:val="24"/>
          <w:szCs w:val="24"/>
        </w:rPr>
        <w:t xml:space="preserve">them </w:t>
      </w:r>
      <w:r w:rsidR="00B8377F" w:rsidRPr="00C03412">
        <w:rPr>
          <w:rFonts w:ascii="Calibri" w:hAnsi="Calibri" w:cs="Calibri"/>
          <w:sz w:val="24"/>
          <w:szCs w:val="24"/>
        </w:rPr>
        <w:t xml:space="preserve">a call </w:t>
      </w:r>
      <w:r w:rsidR="00AF05D1">
        <w:rPr>
          <w:rFonts w:ascii="Calibri" w:hAnsi="Calibri" w:cs="Calibri"/>
          <w:sz w:val="24"/>
          <w:szCs w:val="24"/>
        </w:rPr>
        <w:t>to find out more</w:t>
      </w:r>
      <w:r w:rsidR="00F7524C">
        <w:rPr>
          <w:rFonts w:ascii="Calibri" w:hAnsi="Calibri" w:cs="Calibri"/>
          <w:sz w:val="24"/>
          <w:szCs w:val="24"/>
        </w:rPr>
        <w:t>.</w:t>
      </w:r>
    </w:p>
    <w:p w14:paraId="478127A0" w14:textId="77777777" w:rsidR="008F1641" w:rsidRDefault="008F1641" w:rsidP="00776BED">
      <w:pPr>
        <w:tabs>
          <w:tab w:val="left" w:pos="503"/>
        </w:tabs>
        <w:rPr>
          <w:rFonts w:ascii="Calibri" w:hAnsi="Calibri" w:cs="Calibri"/>
          <w:sz w:val="24"/>
          <w:szCs w:val="24"/>
        </w:rPr>
      </w:pPr>
    </w:p>
    <w:p w14:paraId="05E91D7A" w14:textId="5E497252" w:rsidR="008F1641" w:rsidRDefault="008F1641" w:rsidP="00776BED">
      <w:pPr>
        <w:tabs>
          <w:tab w:val="left" w:pos="503"/>
        </w:tabs>
        <w:rPr>
          <w:rFonts w:ascii="Calibri" w:hAnsi="Calibri" w:cs="Calibri"/>
          <w:sz w:val="24"/>
          <w:szCs w:val="24"/>
        </w:rPr>
      </w:pPr>
      <w:r>
        <w:rPr>
          <w:rFonts w:ascii="Calibri" w:hAnsi="Calibri" w:cs="Calibri"/>
          <w:sz w:val="24"/>
          <w:szCs w:val="24"/>
        </w:rPr>
        <w:t>Steve Bruyn</w:t>
      </w:r>
    </w:p>
    <w:p w14:paraId="0174BB50" w14:textId="03FE0836" w:rsidR="008F1641" w:rsidRDefault="008F1641" w:rsidP="00776BED">
      <w:pPr>
        <w:tabs>
          <w:tab w:val="left" w:pos="503"/>
        </w:tabs>
        <w:rPr>
          <w:rFonts w:ascii="Calibri" w:hAnsi="Calibri" w:cs="Calibri"/>
          <w:sz w:val="24"/>
          <w:szCs w:val="24"/>
        </w:rPr>
      </w:pPr>
      <w:r>
        <w:rPr>
          <w:rFonts w:ascii="Calibri" w:hAnsi="Calibri" w:cs="Calibri"/>
          <w:sz w:val="24"/>
          <w:szCs w:val="24"/>
        </w:rPr>
        <w:t>CEO</w:t>
      </w:r>
    </w:p>
    <w:p w14:paraId="2D6FF927" w14:textId="102A66F6" w:rsidR="008F1641" w:rsidRDefault="004D68E9" w:rsidP="00776BED">
      <w:pPr>
        <w:tabs>
          <w:tab w:val="left" w:pos="503"/>
        </w:tabs>
        <w:rPr>
          <w:rFonts w:ascii="Calibri" w:hAnsi="Calibri" w:cs="Calibri"/>
          <w:sz w:val="24"/>
          <w:szCs w:val="24"/>
        </w:rPr>
      </w:pPr>
      <w:hyperlink r:id="rId5" w:history="1">
        <w:r w:rsidR="008F1641" w:rsidRPr="00487B95">
          <w:rPr>
            <w:rStyle w:val="Hyperlink"/>
            <w:rFonts w:ascii="Calibri" w:hAnsi="Calibri" w:cs="Calibri"/>
            <w:sz w:val="24"/>
            <w:szCs w:val="24"/>
          </w:rPr>
          <w:t>steve@foresightresearch.com</w:t>
        </w:r>
      </w:hyperlink>
    </w:p>
    <w:p w14:paraId="4E6142B4" w14:textId="6E6B3523" w:rsidR="008F1641" w:rsidRPr="00C03412" w:rsidRDefault="008F1641" w:rsidP="00776BED">
      <w:pPr>
        <w:tabs>
          <w:tab w:val="left" w:pos="503"/>
        </w:tabs>
        <w:rPr>
          <w:rFonts w:ascii="Calibri" w:hAnsi="Calibri" w:cs="Calibri"/>
          <w:sz w:val="24"/>
          <w:szCs w:val="24"/>
        </w:rPr>
      </w:pPr>
      <w:r>
        <w:rPr>
          <w:rFonts w:ascii="Calibri" w:hAnsi="Calibri" w:cs="Calibri"/>
          <w:sz w:val="24"/>
          <w:szCs w:val="24"/>
        </w:rPr>
        <w:t>248-608-1870 X 12</w:t>
      </w:r>
    </w:p>
    <w:sectPr w:rsidR="008F1641" w:rsidRPr="00C0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ED"/>
    <w:rsid w:val="001200B4"/>
    <w:rsid w:val="001368E5"/>
    <w:rsid w:val="00165219"/>
    <w:rsid w:val="00183BE7"/>
    <w:rsid w:val="001D3E85"/>
    <w:rsid w:val="00220EFE"/>
    <w:rsid w:val="002A1095"/>
    <w:rsid w:val="00300D9B"/>
    <w:rsid w:val="00336524"/>
    <w:rsid w:val="0045683D"/>
    <w:rsid w:val="004706A5"/>
    <w:rsid w:val="004C48CD"/>
    <w:rsid w:val="004D1BE2"/>
    <w:rsid w:val="004D68E9"/>
    <w:rsid w:val="004E565C"/>
    <w:rsid w:val="005539DE"/>
    <w:rsid w:val="006656D2"/>
    <w:rsid w:val="006A011D"/>
    <w:rsid w:val="006F1F43"/>
    <w:rsid w:val="00776BED"/>
    <w:rsid w:val="008571D8"/>
    <w:rsid w:val="008773C8"/>
    <w:rsid w:val="008D4A22"/>
    <w:rsid w:val="008F1641"/>
    <w:rsid w:val="009030E8"/>
    <w:rsid w:val="00936DA4"/>
    <w:rsid w:val="00A76B76"/>
    <w:rsid w:val="00A95950"/>
    <w:rsid w:val="00AF05D1"/>
    <w:rsid w:val="00B8377F"/>
    <w:rsid w:val="00BA097A"/>
    <w:rsid w:val="00C03412"/>
    <w:rsid w:val="00DC4952"/>
    <w:rsid w:val="00E207C9"/>
    <w:rsid w:val="00EB1EE7"/>
    <w:rsid w:val="00F7524C"/>
    <w:rsid w:val="00F848C0"/>
    <w:rsid w:val="00F94E38"/>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B8A0"/>
  <w15:chartTrackingRefBased/>
  <w15:docId w15:val="{BB18DBEA-48E9-49F7-A489-CB2D4924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77F"/>
    <w:rPr>
      <w:color w:val="0563C1" w:themeColor="hyperlink"/>
      <w:u w:val="single"/>
    </w:rPr>
  </w:style>
  <w:style w:type="character" w:styleId="UnresolvedMention">
    <w:name w:val="Unresolved Mention"/>
    <w:basedOn w:val="DefaultParagraphFont"/>
    <w:uiPriority w:val="99"/>
    <w:semiHidden/>
    <w:unhideWhenUsed/>
    <w:rsid w:val="00B83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foresightresearch.com" TargetMode="External"/><Relationship Id="rId10" Type="http://schemas.openxmlformats.org/officeDocument/2006/relationships/customXml" Target="../customXml/item3.xml"/><Relationship Id="rId4" Type="http://schemas.openxmlformats.org/officeDocument/2006/relationships/chart" Target="charts/chart1.xml"/><Relationship Id="rId9"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dirty="0"/>
              <a:t>% Likely to Switch Banking Institution if Branch Closed </a:t>
            </a:r>
          </a:p>
        </c:rich>
      </c:tx>
      <c:layout>
        <c:manualLayout>
          <c:xMode val="edge"/>
          <c:yMode val="edge"/>
          <c:x val="0.25320321926583822"/>
          <c:y val="2.1884782650343888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158467308578069"/>
          <c:y val="0.11999991165642938"/>
          <c:w val="0.6592770820082029"/>
          <c:h val="0.72135049554432906"/>
        </c:manualLayout>
      </c:layout>
      <c:barChart>
        <c:barDir val="bar"/>
        <c:grouping val="clustered"/>
        <c:varyColors val="0"/>
        <c:ser>
          <c:idx val="0"/>
          <c:order val="0"/>
          <c:tx>
            <c:strRef>
              <c:f>Sheet1!$B$1</c:f>
              <c:strCache>
                <c:ptCount val="1"/>
                <c:pt idx="0">
                  <c:v>High Likelihood of Switching (8,9,10)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Customers/Members</c:v>
                </c:pt>
                <c:pt idx="1">
                  <c:v>Visit Branch (High Use)</c:v>
                </c:pt>
                <c:pt idx="2">
                  <c:v>Use Mobile Banking (High Use)</c:v>
                </c:pt>
                <c:pt idx="3">
                  <c:v>Use Online Banking (High Use)</c:v>
                </c:pt>
              </c:strCache>
            </c:strRef>
          </c:cat>
          <c:val>
            <c:numRef>
              <c:f>Sheet1!$B$2:$B$5</c:f>
              <c:numCache>
                <c:formatCode>0%</c:formatCode>
                <c:ptCount val="4"/>
                <c:pt idx="0">
                  <c:v>0.17</c:v>
                </c:pt>
                <c:pt idx="1">
                  <c:v>0.18</c:v>
                </c:pt>
                <c:pt idx="2">
                  <c:v>0.16</c:v>
                </c:pt>
                <c:pt idx="3">
                  <c:v>0.14000000000000001</c:v>
                </c:pt>
              </c:numCache>
            </c:numRef>
          </c:val>
          <c:extLst>
            <c:ext xmlns:c16="http://schemas.microsoft.com/office/drawing/2014/chart" uri="{C3380CC4-5D6E-409C-BE32-E72D297353CC}">
              <c16:uniqueId val="{00000000-65C4-4A67-B89C-D53B2641F9F2}"/>
            </c:ext>
          </c:extLst>
        </c:ser>
        <c:dLbls>
          <c:showLegendKey val="0"/>
          <c:showVal val="0"/>
          <c:showCatName val="0"/>
          <c:showSerName val="0"/>
          <c:showPercent val="0"/>
          <c:showBubbleSize val="0"/>
        </c:dLbls>
        <c:gapWidth val="150"/>
        <c:axId val="1633305967"/>
        <c:axId val="1633306799"/>
      </c:barChart>
      <c:catAx>
        <c:axId val="16333059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633306799"/>
        <c:crosses val="autoZero"/>
        <c:auto val="1"/>
        <c:lblAlgn val="ctr"/>
        <c:lblOffset val="100"/>
        <c:noMultiLvlLbl val="0"/>
      </c:catAx>
      <c:valAx>
        <c:axId val="1633306799"/>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33305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706BA6-CABB-4C04-A306-4A9840B96CE8}"/>
</file>

<file path=customXml/itemProps2.xml><?xml version="1.0" encoding="utf-8"?>
<ds:datastoreItem xmlns:ds="http://schemas.openxmlformats.org/officeDocument/2006/customXml" ds:itemID="{DF5BC59D-7F58-49B6-922D-EFE60E978FD5}"/>
</file>

<file path=customXml/itemProps3.xml><?xml version="1.0" encoding="utf-8"?>
<ds:datastoreItem xmlns:ds="http://schemas.openxmlformats.org/officeDocument/2006/customXml" ds:itemID="{646CB8CE-61C5-47C7-A263-372006DF8030}"/>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Bruyn</dc:creator>
  <cp:keywords/>
  <dc:description/>
  <cp:lastModifiedBy>Lindsay Greene</cp:lastModifiedBy>
  <cp:revision>2</cp:revision>
  <dcterms:created xsi:type="dcterms:W3CDTF">2023-05-18T13:27:00Z</dcterms:created>
  <dcterms:modified xsi:type="dcterms:W3CDTF">2023-05-18T13:27:00Z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ies>
</file>