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B581E" w14:textId="0E3A1DF9" w:rsidR="00851819" w:rsidRPr="00851819" w:rsidRDefault="00A46064" w:rsidP="00851819">
      <w:pPr>
        <w:pStyle w:val="NoSpacing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8CFC5" wp14:editId="2AEAFB7B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943100" cy="820420"/>
            <wp:effectExtent l="0" t="0" r="0" b="0"/>
            <wp:wrapTight wrapText="bothSides">
              <wp:wrapPolygon edited="0">
                <wp:start x="10165" y="0"/>
                <wp:lineTo x="212" y="8025"/>
                <wp:lineTo x="0" y="8526"/>
                <wp:lineTo x="0" y="13040"/>
                <wp:lineTo x="16941" y="16050"/>
                <wp:lineTo x="8471" y="16551"/>
                <wp:lineTo x="7624" y="17053"/>
                <wp:lineTo x="7624" y="21065"/>
                <wp:lineTo x="20965" y="21065"/>
                <wp:lineTo x="21388" y="19560"/>
                <wp:lineTo x="21388" y="9529"/>
                <wp:lineTo x="19906" y="8025"/>
                <wp:lineTo x="20118" y="6019"/>
                <wp:lineTo x="16306" y="502"/>
                <wp:lineTo x="13976" y="0"/>
                <wp:lineTo x="10165" y="0"/>
              </wp:wrapPolygon>
            </wp:wrapTight>
            <wp:docPr id="875574097" name="Picture 1" descr="QwickRate/IntelliCr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wickRate/IntelliCred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819" w:rsidRPr="00851819">
        <w:rPr>
          <w:rFonts w:ascii="Calibri" w:hAnsi="Calibri" w:cs="Calibri"/>
          <w:b/>
          <w:bCs/>
          <w:sz w:val="32"/>
          <w:szCs w:val="32"/>
        </w:rPr>
        <w:t>CRE Growth: More Defense of Credit Processes</w:t>
      </w:r>
      <w:r w:rsidRPr="00A46064">
        <w:t xml:space="preserve"> </w:t>
      </w:r>
    </w:p>
    <w:p w14:paraId="5E699A4F" w14:textId="77777777" w:rsidR="00851819" w:rsidRDefault="00851819" w:rsidP="00851819">
      <w:pPr>
        <w:pStyle w:val="NoSpacing"/>
        <w:rPr>
          <w:rFonts w:ascii="Calibri" w:hAnsi="Calibri" w:cs="Calibri"/>
          <w:szCs w:val="24"/>
        </w:rPr>
      </w:pPr>
    </w:p>
    <w:p w14:paraId="516F3AE8" w14:textId="226CA54E" w:rsidR="00B96EEF" w:rsidRPr="00C44269" w:rsidRDefault="00B96EEF" w:rsidP="00B96EEF">
      <w:pPr>
        <w:pStyle w:val="NoSpacing"/>
        <w:rPr>
          <w:rFonts w:ascii="Calibri" w:hAnsi="Calibri" w:cs="Calibri"/>
          <w:szCs w:val="24"/>
        </w:rPr>
      </w:pPr>
      <w:r w:rsidRPr="00851819">
        <w:rPr>
          <w:rFonts w:ascii="Calibri" w:hAnsi="Calibri" w:cs="Calibri"/>
          <w:sz w:val="22"/>
          <w:szCs w:val="22"/>
        </w:rPr>
        <w:t xml:space="preserve">By: David Ruffin, Principal of IntelliCredit, a division of QwickRate </w:t>
      </w:r>
    </w:p>
    <w:p w14:paraId="1FF7C00B" w14:textId="3333B00C" w:rsidR="00915C8C" w:rsidRPr="00C44269" w:rsidRDefault="00380A25" w:rsidP="00C44269">
      <w:pPr>
        <w:pStyle w:val="NoSpacing"/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szCs w:val="24"/>
        </w:rPr>
        <w:br/>
      </w:r>
    </w:p>
    <w:p w14:paraId="5C73F716" w14:textId="3F45056E" w:rsidR="00241F85" w:rsidRPr="00155737" w:rsidRDefault="00026902" w:rsidP="00C44269">
      <w:pPr>
        <w:pStyle w:val="NoSpacing"/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szCs w:val="24"/>
        </w:rPr>
        <w:t xml:space="preserve">At </w:t>
      </w:r>
      <w:r w:rsidR="00C44269">
        <w:rPr>
          <w:rFonts w:ascii="Calibri" w:hAnsi="Calibri" w:cs="Calibri"/>
          <w:szCs w:val="24"/>
        </w:rPr>
        <w:t xml:space="preserve">Bank Director’s </w:t>
      </w:r>
      <w:r w:rsidRPr="00C44269">
        <w:rPr>
          <w:rFonts w:ascii="Calibri" w:hAnsi="Calibri" w:cs="Calibri"/>
          <w:szCs w:val="24"/>
        </w:rPr>
        <w:t xml:space="preserve">2021 </w:t>
      </w:r>
      <w:r w:rsidR="00D33348" w:rsidRPr="00C44269">
        <w:rPr>
          <w:rFonts w:ascii="Calibri" w:hAnsi="Calibri" w:cs="Calibri"/>
          <w:szCs w:val="24"/>
        </w:rPr>
        <w:t xml:space="preserve">Acquire or Be Acquired </w:t>
      </w:r>
      <w:r w:rsidRPr="00C44269">
        <w:rPr>
          <w:rFonts w:ascii="Calibri" w:hAnsi="Calibri" w:cs="Calibri"/>
          <w:szCs w:val="24"/>
        </w:rPr>
        <w:t>Conference</w:t>
      </w:r>
      <w:r w:rsidR="00EC0C16" w:rsidRPr="00C44269">
        <w:rPr>
          <w:rFonts w:ascii="Calibri" w:hAnsi="Calibri" w:cs="Calibri"/>
          <w:szCs w:val="24"/>
        </w:rPr>
        <w:t>,</w:t>
      </w:r>
      <w:r w:rsidR="00EC0C16" w:rsidRPr="00C44269">
        <w:rPr>
          <w:rFonts w:ascii="Calibri" w:hAnsi="Calibri" w:cs="Calibri"/>
          <w:i/>
          <w:iCs/>
          <w:szCs w:val="24"/>
        </w:rPr>
        <w:t xml:space="preserve"> </w:t>
      </w:r>
      <w:r w:rsidR="00EC0C16" w:rsidRPr="00C44269">
        <w:rPr>
          <w:rFonts w:ascii="Calibri" w:hAnsi="Calibri" w:cs="Calibri"/>
          <w:szCs w:val="24"/>
        </w:rPr>
        <w:t xml:space="preserve">investment bankers </w:t>
      </w:r>
      <w:r w:rsidR="000467BA" w:rsidRPr="00C44269">
        <w:rPr>
          <w:rFonts w:ascii="Calibri" w:hAnsi="Calibri" w:cs="Calibri"/>
          <w:szCs w:val="24"/>
        </w:rPr>
        <w:t xml:space="preserve">propounded a </w:t>
      </w:r>
      <w:r w:rsidR="00946BAE" w:rsidRPr="00C44269">
        <w:rPr>
          <w:rFonts w:ascii="Calibri" w:hAnsi="Calibri" w:cs="Calibri"/>
          <w:szCs w:val="24"/>
        </w:rPr>
        <w:t>persistent theme</w:t>
      </w:r>
      <w:r w:rsidR="00122F49" w:rsidRPr="00C44269">
        <w:rPr>
          <w:rFonts w:ascii="Calibri" w:hAnsi="Calibri" w:cs="Calibri"/>
          <w:szCs w:val="24"/>
        </w:rPr>
        <w:t xml:space="preserve"> </w:t>
      </w:r>
      <w:r w:rsidR="000467BA" w:rsidRPr="00C44269">
        <w:rPr>
          <w:rFonts w:ascii="Calibri" w:hAnsi="Calibri" w:cs="Calibri"/>
          <w:szCs w:val="24"/>
        </w:rPr>
        <w:t xml:space="preserve">to their commercial banking </w:t>
      </w:r>
      <w:r w:rsidR="00184978" w:rsidRPr="00C44269">
        <w:rPr>
          <w:rFonts w:ascii="Calibri" w:hAnsi="Calibri" w:cs="Calibri"/>
          <w:szCs w:val="24"/>
        </w:rPr>
        <w:t xml:space="preserve">counterparts: </w:t>
      </w:r>
      <w:r w:rsidR="00AB6DB3" w:rsidRPr="00646D0A">
        <w:rPr>
          <w:rFonts w:ascii="Calibri" w:hAnsi="Calibri" w:cs="Calibri"/>
          <w:szCs w:val="24"/>
        </w:rPr>
        <w:t>G</w:t>
      </w:r>
      <w:r w:rsidR="00184978" w:rsidRPr="00646D0A">
        <w:rPr>
          <w:rFonts w:ascii="Calibri" w:hAnsi="Calibri" w:cs="Calibri"/>
          <w:szCs w:val="24"/>
        </w:rPr>
        <w:t>et your loan growth up</w:t>
      </w:r>
      <w:r w:rsidR="00155737">
        <w:rPr>
          <w:rFonts w:ascii="Calibri" w:hAnsi="Calibri" w:cs="Calibri"/>
          <w:szCs w:val="24"/>
        </w:rPr>
        <w:t>,</w:t>
      </w:r>
      <w:r w:rsidR="00703B0B" w:rsidRPr="00646D0A">
        <w:rPr>
          <w:rFonts w:ascii="Calibri" w:hAnsi="Calibri" w:cs="Calibri"/>
          <w:szCs w:val="24"/>
        </w:rPr>
        <w:t xml:space="preserve"> it’s </w:t>
      </w:r>
      <w:r w:rsidR="00952A56" w:rsidRPr="00646D0A">
        <w:rPr>
          <w:rFonts w:ascii="Calibri" w:hAnsi="Calibri" w:cs="Calibri"/>
          <w:szCs w:val="24"/>
        </w:rPr>
        <w:t xml:space="preserve">at </w:t>
      </w:r>
      <w:r w:rsidR="00703B0B" w:rsidRPr="00646D0A">
        <w:rPr>
          <w:rFonts w:ascii="Calibri" w:hAnsi="Calibri" w:cs="Calibri"/>
          <w:szCs w:val="24"/>
        </w:rPr>
        <w:t xml:space="preserve">the heart of your </w:t>
      </w:r>
      <w:r w:rsidR="00952A56" w:rsidRPr="00646D0A">
        <w:rPr>
          <w:rFonts w:ascii="Calibri" w:hAnsi="Calibri" w:cs="Calibri"/>
          <w:szCs w:val="24"/>
        </w:rPr>
        <w:t xml:space="preserve">bank’s </w:t>
      </w:r>
      <w:r w:rsidR="00703B0B" w:rsidRPr="00646D0A">
        <w:rPr>
          <w:rFonts w:ascii="Calibri" w:hAnsi="Calibri" w:cs="Calibri"/>
          <w:szCs w:val="24"/>
        </w:rPr>
        <w:t xml:space="preserve">valuation </w:t>
      </w:r>
      <w:r w:rsidR="00952A56" w:rsidRPr="00646D0A">
        <w:rPr>
          <w:rFonts w:ascii="Calibri" w:hAnsi="Calibri" w:cs="Calibri"/>
          <w:szCs w:val="24"/>
        </w:rPr>
        <w:t xml:space="preserve">and pricing </w:t>
      </w:r>
      <w:r w:rsidR="00FA33AA" w:rsidRPr="00646D0A">
        <w:rPr>
          <w:rFonts w:ascii="Calibri" w:hAnsi="Calibri" w:cs="Calibri"/>
          <w:szCs w:val="24"/>
        </w:rPr>
        <w:t>modeling</w:t>
      </w:r>
      <w:r w:rsidR="00E02BAD" w:rsidRPr="00646D0A">
        <w:rPr>
          <w:rFonts w:ascii="Calibri" w:hAnsi="Calibri" w:cs="Calibri"/>
          <w:szCs w:val="24"/>
        </w:rPr>
        <w:t>.</w:t>
      </w:r>
      <w:r w:rsidR="00E02BAD" w:rsidRPr="00155737">
        <w:rPr>
          <w:rFonts w:ascii="Calibri" w:hAnsi="Calibri" w:cs="Calibri"/>
          <w:szCs w:val="24"/>
        </w:rPr>
        <w:t xml:space="preserve"> </w:t>
      </w:r>
    </w:p>
    <w:p w14:paraId="4824890B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46E42B48" w14:textId="2D44CD48" w:rsidR="009F2FE9" w:rsidRDefault="00380A25" w:rsidP="00C44269">
      <w:pPr>
        <w:pStyle w:val="NoSpacing"/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szCs w:val="24"/>
        </w:rPr>
        <w:t xml:space="preserve">Organic loan growth at community banks had been </w:t>
      </w:r>
      <w:r w:rsidR="007D10A2" w:rsidRPr="00C44269">
        <w:rPr>
          <w:rFonts w:ascii="Calibri" w:hAnsi="Calibri" w:cs="Calibri"/>
          <w:szCs w:val="24"/>
        </w:rPr>
        <w:t>sluggish</w:t>
      </w:r>
      <w:r w:rsidRPr="00C44269">
        <w:rPr>
          <w:rFonts w:ascii="Calibri" w:hAnsi="Calibri" w:cs="Calibri"/>
          <w:szCs w:val="24"/>
        </w:rPr>
        <w:t xml:space="preserve"> for a couple of years, </w:t>
      </w:r>
      <w:r w:rsidR="007D10A2" w:rsidRPr="00C44269">
        <w:rPr>
          <w:rFonts w:ascii="Calibri" w:hAnsi="Calibri" w:cs="Calibri"/>
          <w:szCs w:val="24"/>
        </w:rPr>
        <w:t>excluding</w:t>
      </w:r>
      <w:r w:rsidR="00497AE8" w:rsidRPr="00C44269">
        <w:rPr>
          <w:rFonts w:ascii="Calibri" w:hAnsi="Calibri" w:cs="Calibri"/>
          <w:szCs w:val="24"/>
        </w:rPr>
        <w:t xml:space="preserve"> the </w:t>
      </w:r>
      <w:r w:rsidR="007D10A2" w:rsidRPr="00C44269">
        <w:rPr>
          <w:rFonts w:ascii="Calibri" w:hAnsi="Calibri" w:cs="Calibri"/>
          <w:szCs w:val="24"/>
        </w:rPr>
        <w:t xml:space="preserve">impact of the </w:t>
      </w:r>
      <w:r w:rsidR="00497AE8" w:rsidRPr="00C44269">
        <w:rPr>
          <w:rFonts w:ascii="Calibri" w:hAnsi="Calibri" w:cs="Calibri"/>
          <w:szCs w:val="24"/>
        </w:rPr>
        <w:t xml:space="preserve">historic </w:t>
      </w:r>
      <w:r w:rsidR="00422950" w:rsidRPr="00C44269">
        <w:rPr>
          <w:rFonts w:ascii="Calibri" w:hAnsi="Calibri" w:cs="Calibri"/>
          <w:szCs w:val="24"/>
        </w:rPr>
        <w:t>pandemic stimulus programs</w:t>
      </w:r>
      <w:r w:rsidR="00CD65FE" w:rsidRPr="00C44269">
        <w:rPr>
          <w:rFonts w:ascii="Calibri" w:hAnsi="Calibri" w:cs="Calibri"/>
          <w:szCs w:val="24"/>
        </w:rPr>
        <w:t>.</w:t>
      </w:r>
      <w:r w:rsidR="00323FA2" w:rsidRPr="00C44269">
        <w:rPr>
          <w:rFonts w:ascii="Calibri" w:hAnsi="Calibri" w:cs="Calibri"/>
          <w:szCs w:val="24"/>
        </w:rPr>
        <w:t xml:space="preserve"> </w:t>
      </w:r>
      <w:r w:rsidR="007D10A2" w:rsidRPr="00C44269">
        <w:rPr>
          <w:rFonts w:ascii="Calibri" w:hAnsi="Calibri" w:cs="Calibri"/>
          <w:szCs w:val="24"/>
        </w:rPr>
        <w:t>This</w:t>
      </w:r>
      <w:r w:rsidR="0000529D" w:rsidRPr="00C44269">
        <w:rPr>
          <w:rFonts w:ascii="Calibri" w:hAnsi="Calibri" w:cs="Calibri"/>
          <w:szCs w:val="24"/>
        </w:rPr>
        <w:t xml:space="preserve"> growth </w:t>
      </w:r>
      <w:r w:rsidR="007D10A2" w:rsidRPr="00C44269">
        <w:rPr>
          <w:rFonts w:ascii="Calibri" w:hAnsi="Calibri" w:cs="Calibri"/>
          <w:szCs w:val="24"/>
        </w:rPr>
        <w:t>rebounded</w:t>
      </w:r>
      <w:r w:rsidR="0000529D" w:rsidRPr="00C44269">
        <w:rPr>
          <w:rFonts w:ascii="Calibri" w:hAnsi="Calibri" w:cs="Calibri"/>
          <w:szCs w:val="24"/>
        </w:rPr>
        <w:t xml:space="preserve"> in </w:t>
      </w:r>
      <w:r w:rsidR="007D10A2" w:rsidRPr="00C44269">
        <w:rPr>
          <w:rFonts w:ascii="Calibri" w:hAnsi="Calibri" w:cs="Calibri"/>
          <w:szCs w:val="24"/>
        </w:rPr>
        <w:t>20</w:t>
      </w:r>
      <w:r w:rsidR="00323FA2" w:rsidRPr="00C44269">
        <w:rPr>
          <w:rFonts w:ascii="Calibri" w:hAnsi="Calibri" w:cs="Calibri"/>
          <w:szCs w:val="24"/>
        </w:rPr>
        <w:t xml:space="preserve">21 and </w:t>
      </w:r>
      <w:r w:rsidR="007D10A2" w:rsidRPr="00C44269">
        <w:rPr>
          <w:rFonts w:ascii="Calibri" w:hAnsi="Calibri" w:cs="Calibri"/>
          <w:szCs w:val="24"/>
        </w:rPr>
        <w:t>20</w:t>
      </w:r>
      <w:r w:rsidR="0000529D" w:rsidRPr="00C44269">
        <w:rPr>
          <w:rFonts w:ascii="Calibri" w:hAnsi="Calibri" w:cs="Calibri"/>
          <w:szCs w:val="24"/>
        </w:rPr>
        <w:t>22</w:t>
      </w:r>
      <w:r w:rsidR="00DA2B3F" w:rsidRPr="00C44269">
        <w:rPr>
          <w:rFonts w:ascii="Calibri" w:hAnsi="Calibri" w:cs="Calibri"/>
          <w:szCs w:val="24"/>
        </w:rPr>
        <w:t xml:space="preserve">, but </w:t>
      </w:r>
      <w:r w:rsidR="007D10A2" w:rsidRPr="00C44269">
        <w:rPr>
          <w:rFonts w:ascii="Calibri" w:hAnsi="Calibri" w:cs="Calibri"/>
          <w:szCs w:val="24"/>
        </w:rPr>
        <w:t xml:space="preserve">it was </w:t>
      </w:r>
      <w:r w:rsidR="00DA2B3F" w:rsidRPr="00C44269">
        <w:rPr>
          <w:rFonts w:ascii="Calibri" w:hAnsi="Calibri" w:cs="Calibri"/>
          <w:szCs w:val="24"/>
        </w:rPr>
        <w:t xml:space="preserve">almost </w:t>
      </w:r>
      <w:r w:rsidR="007D10A2" w:rsidRPr="00C44269">
        <w:rPr>
          <w:rFonts w:ascii="Calibri" w:hAnsi="Calibri" w:cs="Calibri"/>
          <w:szCs w:val="24"/>
        </w:rPr>
        <w:t xml:space="preserve">entirely driven by </w:t>
      </w:r>
      <w:r w:rsidR="00DA2B3F" w:rsidRPr="00C44269">
        <w:rPr>
          <w:rFonts w:ascii="Calibri" w:hAnsi="Calibri" w:cs="Calibri"/>
          <w:szCs w:val="24"/>
        </w:rPr>
        <w:t>a fami</w:t>
      </w:r>
      <w:r w:rsidR="00DE3DB4" w:rsidRPr="00C44269">
        <w:rPr>
          <w:rFonts w:ascii="Calibri" w:hAnsi="Calibri" w:cs="Calibri"/>
          <w:szCs w:val="24"/>
        </w:rPr>
        <w:t>liar source</w:t>
      </w:r>
      <w:r w:rsidR="007D10A2" w:rsidRPr="00C44269">
        <w:rPr>
          <w:rFonts w:ascii="Calibri" w:hAnsi="Calibri" w:cs="Calibri"/>
          <w:szCs w:val="24"/>
        </w:rPr>
        <w:t>:</w:t>
      </w:r>
      <w:r w:rsidR="008F5D4C" w:rsidRPr="00C44269">
        <w:rPr>
          <w:rFonts w:ascii="Calibri" w:hAnsi="Calibri" w:cs="Calibri"/>
          <w:szCs w:val="24"/>
        </w:rPr>
        <w:t xml:space="preserve"> </w:t>
      </w:r>
      <w:r w:rsidR="00DE3DB4" w:rsidRPr="00C44269">
        <w:rPr>
          <w:rFonts w:ascii="Calibri" w:hAnsi="Calibri" w:cs="Calibri"/>
          <w:szCs w:val="24"/>
        </w:rPr>
        <w:t>commercial real estate</w:t>
      </w:r>
      <w:r w:rsidR="00155737">
        <w:rPr>
          <w:rFonts w:ascii="Calibri" w:hAnsi="Calibri" w:cs="Calibri"/>
          <w:szCs w:val="24"/>
        </w:rPr>
        <w:t>, or</w:t>
      </w:r>
      <w:r w:rsidR="00017112" w:rsidRPr="00C44269">
        <w:rPr>
          <w:rFonts w:ascii="Calibri" w:hAnsi="Calibri" w:cs="Calibri"/>
          <w:szCs w:val="24"/>
        </w:rPr>
        <w:t xml:space="preserve"> CRE</w:t>
      </w:r>
      <w:r w:rsidR="00DE3DB4" w:rsidRPr="00C44269">
        <w:rPr>
          <w:rFonts w:ascii="Calibri" w:hAnsi="Calibri" w:cs="Calibri"/>
          <w:szCs w:val="24"/>
        </w:rPr>
        <w:t>.</w:t>
      </w:r>
      <w:r w:rsidR="00410C2D" w:rsidRPr="00C44269">
        <w:rPr>
          <w:rFonts w:ascii="Calibri" w:hAnsi="Calibri" w:cs="Calibri"/>
          <w:szCs w:val="24"/>
        </w:rPr>
        <w:t xml:space="preserve"> </w:t>
      </w:r>
      <w:r w:rsidR="007D10A2" w:rsidRPr="00C44269">
        <w:rPr>
          <w:rFonts w:ascii="Calibri" w:hAnsi="Calibri" w:cs="Calibri"/>
          <w:szCs w:val="24"/>
        </w:rPr>
        <w:t>Since</w:t>
      </w:r>
      <w:r w:rsidR="00410C2D" w:rsidRPr="00C44269">
        <w:rPr>
          <w:rFonts w:ascii="Calibri" w:hAnsi="Calibri" w:cs="Calibri"/>
          <w:szCs w:val="24"/>
        </w:rPr>
        <w:t xml:space="preserve"> the </w:t>
      </w:r>
      <w:r w:rsidR="007D10A2" w:rsidRPr="00C44269">
        <w:rPr>
          <w:rFonts w:ascii="Calibri" w:hAnsi="Calibri" w:cs="Calibri"/>
          <w:szCs w:val="24"/>
        </w:rPr>
        <w:t>19</w:t>
      </w:r>
      <w:r w:rsidR="00410C2D" w:rsidRPr="00C44269">
        <w:rPr>
          <w:rFonts w:ascii="Calibri" w:hAnsi="Calibri" w:cs="Calibri"/>
          <w:szCs w:val="24"/>
        </w:rPr>
        <w:t>90</w:t>
      </w:r>
      <w:r w:rsidR="004C2E8D" w:rsidRPr="00C44269">
        <w:rPr>
          <w:rFonts w:ascii="Calibri" w:hAnsi="Calibri" w:cs="Calibri"/>
          <w:szCs w:val="24"/>
        </w:rPr>
        <w:t>s</w:t>
      </w:r>
      <w:r w:rsidR="007D10A2" w:rsidRPr="00C44269">
        <w:rPr>
          <w:rFonts w:ascii="Calibri" w:hAnsi="Calibri" w:cs="Calibri"/>
          <w:szCs w:val="24"/>
        </w:rPr>
        <w:t xml:space="preserve">, </w:t>
      </w:r>
      <w:r w:rsidR="00E040FE" w:rsidRPr="00C44269">
        <w:rPr>
          <w:rFonts w:ascii="Calibri" w:hAnsi="Calibri" w:cs="Calibri"/>
          <w:szCs w:val="24"/>
        </w:rPr>
        <w:t xml:space="preserve">various </w:t>
      </w:r>
      <w:r w:rsidR="00AA3A9A" w:rsidRPr="00C44269">
        <w:rPr>
          <w:rFonts w:ascii="Calibri" w:hAnsi="Calibri" w:cs="Calibri"/>
          <w:szCs w:val="24"/>
        </w:rPr>
        <w:t xml:space="preserve">market </w:t>
      </w:r>
      <w:r w:rsidR="007D10A2" w:rsidRPr="00C44269">
        <w:rPr>
          <w:rFonts w:ascii="Calibri" w:hAnsi="Calibri" w:cs="Calibri"/>
          <w:szCs w:val="24"/>
        </w:rPr>
        <w:t xml:space="preserve">dynamics </w:t>
      </w:r>
      <w:r w:rsidR="00AA3A9A" w:rsidRPr="00C44269">
        <w:rPr>
          <w:rFonts w:ascii="Calibri" w:hAnsi="Calibri" w:cs="Calibri"/>
          <w:szCs w:val="24"/>
        </w:rPr>
        <w:t xml:space="preserve">and </w:t>
      </w:r>
      <w:r w:rsidR="004C2E8D" w:rsidRPr="00C44269">
        <w:rPr>
          <w:rFonts w:ascii="Calibri" w:hAnsi="Calibri" w:cs="Calibri"/>
          <w:szCs w:val="24"/>
        </w:rPr>
        <w:t xml:space="preserve">talent </w:t>
      </w:r>
      <w:r w:rsidR="007D10A2" w:rsidRPr="00C44269">
        <w:rPr>
          <w:rFonts w:ascii="Calibri" w:hAnsi="Calibri" w:cs="Calibri"/>
          <w:szCs w:val="24"/>
        </w:rPr>
        <w:t>considerations</w:t>
      </w:r>
      <w:r w:rsidR="00AB6DB3" w:rsidRPr="00C44269">
        <w:rPr>
          <w:rFonts w:ascii="Calibri" w:hAnsi="Calibri" w:cs="Calibri"/>
          <w:szCs w:val="24"/>
        </w:rPr>
        <w:t xml:space="preserve"> have led </w:t>
      </w:r>
      <w:r w:rsidR="00C316D5" w:rsidRPr="00C44269">
        <w:rPr>
          <w:rFonts w:ascii="Calibri" w:hAnsi="Calibri" w:cs="Calibri"/>
          <w:szCs w:val="24"/>
        </w:rPr>
        <w:t>c</w:t>
      </w:r>
      <w:r w:rsidR="00065AC2" w:rsidRPr="00C44269">
        <w:rPr>
          <w:rFonts w:ascii="Calibri" w:hAnsi="Calibri" w:cs="Calibri"/>
          <w:szCs w:val="24"/>
        </w:rPr>
        <w:t xml:space="preserve">ommunity bankers </w:t>
      </w:r>
      <w:r w:rsidR="00AB6DB3" w:rsidRPr="00C44269">
        <w:rPr>
          <w:rFonts w:ascii="Calibri" w:hAnsi="Calibri" w:cs="Calibri"/>
          <w:szCs w:val="24"/>
        </w:rPr>
        <w:t xml:space="preserve">to </w:t>
      </w:r>
      <w:r w:rsidR="007D10A2" w:rsidRPr="00C44269">
        <w:rPr>
          <w:rFonts w:ascii="Calibri" w:hAnsi="Calibri" w:cs="Calibri"/>
          <w:szCs w:val="24"/>
        </w:rPr>
        <w:t>increasingly favor</w:t>
      </w:r>
      <w:r w:rsidR="00CE2BE0" w:rsidRPr="00C44269">
        <w:rPr>
          <w:rFonts w:ascii="Calibri" w:hAnsi="Calibri" w:cs="Calibri"/>
          <w:szCs w:val="24"/>
        </w:rPr>
        <w:t xml:space="preserve"> </w:t>
      </w:r>
      <w:r w:rsidR="00E040FE" w:rsidRPr="00C44269">
        <w:rPr>
          <w:rFonts w:ascii="Calibri" w:hAnsi="Calibri" w:cs="Calibri"/>
          <w:szCs w:val="24"/>
        </w:rPr>
        <w:t>CR</w:t>
      </w:r>
      <w:r w:rsidR="00065AC2" w:rsidRPr="00C44269">
        <w:rPr>
          <w:rFonts w:ascii="Calibri" w:hAnsi="Calibri" w:cs="Calibri"/>
          <w:szCs w:val="24"/>
        </w:rPr>
        <w:t xml:space="preserve">E as </w:t>
      </w:r>
      <w:r w:rsidR="00CE2BE0" w:rsidRPr="00C44269">
        <w:rPr>
          <w:rFonts w:ascii="Calibri" w:hAnsi="Calibri" w:cs="Calibri"/>
          <w:szCs w:val="24"/>
        </w:rPr>
        <w:t xml:space="preserve">their </w:t>
      </w:r>
      <w:r w:rsidR="00272E46" w:rsidRPr="00C44269">
        <w:rPr>
          <w:rFonts w:ascii="Calibri" w:hAnsi="Calibri" w:cs="Calibri"/>
          <w:szCs w:val="24"/>
        </w:rPr>
        <w:t>loan product of choice.</w:t>
      </w:r>
    </w:p>
    <w:p w14:paraId="6C280B84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6A719084" w14:textId="27708958" w:rsidR="000854D4" w:rsidRDefault="002E7B4F" w:rsidP="00C44269">
      <w:pPr>
        <w:pStyle w:val="NoSpacing"/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szCs w:val="24"/>
        </w:rPr>
        <w:t xml:space="preserve">While the growth </w:t>
      </w:r>
      <w:r w:rsidR="00E9703B" w:rsidRPr="00C44269">
        <w:rPr>
          <w:rFonts w:ascii="Calibri" w:hAnsi="Calibri" w:cs="Calibri"/>
          <w:szCs w:val="24"/>
        </w:rPr>
        <w:t xml:space="preserve">problem </w:t>
      </w:r>
      <w:r w:rsidR="007D10A2" w:rsidRPr="00C44269">
        <w:rPr>
          <w:rFonts w:ascii="Calibri" w:hAnsi="Calibri" w:cs="Calibri"/>
          <w:szCs w:val="24"/>
        </w:rPr>
        <w:t>seemed re</w:t>
      </w:r>
      <w:r w:rsidR="00E9703B" w:rsidRPr="00C44269">
        <w:rPr>
          <w:rFonts w:ascii="Calibri" w:hAnsi="Calibri" w:cs="Calibri"/>
          <w:szCs w:val="24"/>
        </w:rPr>
        <w:t>solved, complications</w:t>
      </w:r>
      <w:r w:rsidR="007D10A2" w:rsidRPr="00C44269">
        <w:rPr>
          <w:rFonts w:ascii="Calibri" w:hAnsi="Calibri" w:cs="Calibri"/>
          <w:szCs w:val="24"/>
        </w:rPr>
        <w:t xml:space="preserve"> arose</w:t>
      </w:r>
      <w:r w:rsidR="00E9703B" w:rsidRPr="00C44269">
        <w:rPr>
          <w:rFonts w:ascii="Calibri" w:hAnsi="Calibri" w:cs="Calibri"/>
          <w:szCs w:val="24"/>
        </w:rPr>
        <w:t>. Sma</w:t>
      </w:r>
      <w:r w:rsidR="004A0F78" w:rsidRPr="00C44269">
        <w:rPr>
          <w:rFonts w:ascii="Calibri" w:hAnsi="Calibri" w:cs="Calibri"/>
          <w:szCs w:val="24"/>
        </w:rPr>
        <w:t xml:space="preserve">ller banks </w:t>
      </w:r>
      <w:r w:rsidR="00E72450" w:rsidRPr="00C44269">
        <w:rPr>
          <w:rFonts w:ascii="Calibri" w:hAnsi="Calibri" w:cs="Calibri"/>
          <w:szCs w:val="24"/>
        </w:rPr>
        <w:t xml:space="preserve">emerged as the </w:t>
      </w:r>
      <w:r w:rsidR="007D10A2" w:rsidRPr="00C44269">
        <w:rPr>
          <w:rFonts w:ascii="Calibri" w:hAnsi="Calibri" w:cs="Calibri"/>
          <w:szCs w:val="24"/>
        </w:rPr>
        <w:t xml:space="preserve">sole segment, </w:t>
      </w:r>
      <w:r w:rsidR="006C5625" w:rsidRPr="00C44269">
        <w:rPr>
          <w:rFonts w:ascii="Calibri" w:hAnsi="Calibri" w:cs="Calibri"/>
          <w:szCs w:val="24"/>
        </w:rPr>
        <w:t>banking or nonbanking</w:t>
      </w:r>
      <w:r w:rsidR="007D10A2" w:rsidRPr="00C44269">
        <w:rPr>
          <w:rFonts w:ascii="Calibri" w:hAnsi="Calibri" w:cs="Calibri"/>
          <w:szCs w:val="24"/>
        </w:rPr>
        <w:t>,</w:t>
      </w:r>
      <w:r w:rsidR="00E72450" w:rsidRPr="00C44269">
        <w:rPr>
          <w:rFonts w:ascii="Calibri" w:hAnsi="Calibri" w:cs="Calibri"/>
          <w:szCs w:val="24"/>
        </w:rPr>
        <w:t xml:space="preserve"> of the U</w:t>
      </w:r>
      <w:r w:rsidR="00AB6DB3" w:rsidRPr="00C44269">
        <w:rPr>
          <w:rFonts w:ascii="Calibri" w:hAnsi="Calibri" w:cs="Calibri"/>
          <w:szCs w:val="24"/>
        </w:rPr>
        <w:t>.</w:t>
      </w:r>
      <w:r w:rsidR="00E72450" w:rsidRPr="00C44269">
        <w:rPr>
          <w:rFonts w:ascii="Calibri" w:hAnsi="Calibri" w:cs="Calibri"/>
          <w:szCs w:val="24"/>
        </w:rPr>
        <w:t>S</w:t>
      </w:r>
      <w:r w:rsidR="00AB6DB3" w:rsidRPr="00C44269">
        <w:rPr>
          <w:rFonts w:ascii="Calibri" w:hAnsi="Calibri" w:cs="Calibri"/>
          <w:szCs w:val="24"/>
        </w:rPr>
        <w:t>.</w:t>
      </w:r>
      <w:r w:rsidR="00E72450" w:rsidRPr="00C44269">
        <w:rPr>
          <w:rFonts w:ascii="Calibri" w:hAnsi="Calibri" w:cs="Calibri"/>
          <w:szCs w:val="24"/>
        </w:rPr>
        <w:t xml:space="preserve"> economy </w:t>
      </w:r>
      <w:r w:rsidR="007D10A2" w:rsidRPr="00C44269">
        <w:rPr>
          <w:rFonts w:ascii="Calibri" w:hAnsi="Calibri" w:cs="Calibri"/>
          <w:szCs w:val="24"/>
        </w:rPr>
        <w:t xml:space="preserve">driving </w:t>
      </w:r>
      <w:r w:rsidR="007F180E" w:rsidRPr="00C44269">
        <w:rPr>
          <w:rFonts w:ascii="Calibri" w:hAnsi="Calibri" w:cs="Calibri"/>
          <w:szCs w:val="24"/>
        </w:rPr>
        <w:t>CRE</w:t>
      </w:r>
      <w:r w:rsidR="007D10A2" w:rsidRPr="00C44269">
        <w:rPr>
          <w:rFonts w:ascii="Calibri" w:hAnsi="Calibri" w:cs="Calibri"/>
          <w:szCs w:val="24"/>
        </w:rPr>
        <w:t xml:space="preserve"> growth.</w:t>
      </w:r>
      <w:r w:rsidR="00F322F3" w:rsidRPr="00C44269">
        <w:rPr>
          <w:rFonts w:ascii="Calibri" w:hAnsi="Calibri" w:cs="Calibri"/>
          <w:szCs w:val="24"/>
        </w:rPr>
        <w:t xml:space="preserve"> </w:t>
      </w:r>
      <w:r w:rsidR="007D10A2" w:rsidRPr="00C44269">
        <w:rPr>
          <w:rFonts w:ascii="Calibri" w:hAnsi="Calibri" w:cs="Calibri"/>
          <w:szCs w:val="24"/>
        </w:rPr>
        <w:t>B</w:t>
      </w:r>
      <w:r w:rsidR="00F322F3" w:rsidRPr="00C44269">
        <w:rPr>
          <w:rFonts w:ascii="Calibri" w:hAnsi="Calibri" w:cs="Calibri"/>
          <w:szCs w:val="24"/>
        </w:rPr>
        <w:t>y June 2023</w:t>
      </w:r>
      <w:r w:rsidR="007D10A2" w:rsidRPr="00C44269">
        <w:rPr>
          <w:rFonts w:ascii="Calibri" w:hAnsi="Calibri" w:cs="Calibri"/>
          <w:szCs w:val="24"/>
        </w:rPr>
        <w:t>,</w:t>
      </w:r>
      <w:r w:rsidR="00F322F3" w:rsidRPr="00C44269">
        <w:rPr>
          <w:rFonts w:ascii="Calibri" w:hAnsi="Calibri" w:cs="Calibri"/>
          <w:szCs w:val="24"/>
        </w:rPr>
        <w:t xml:space="preserve"> </w:t>
      </w:r>
      <w:r w:rsidR="00484A36" w:rsidRPr="00C44269">
        <w:rPr>
          <w:rFonts w:ascii="Calibri" w:hAnsi="Calibri" w:cs="Calibri"/>
          <w:szCs w:val="24"/>
        </w:rPr>
        <w:t xml:space="preserve">the </w:t>
      </w:r>
      <w:r w:rsidR="00646D0A">
        <w:rPr>
          <w:rFonts w:ascii="Calibri" w:hAnsi="Calibri" w:cs="Calibri"/>
          <w:szCs w:val="24"/>
        </w:rPr>
        <w:t xml:space="preserve">four </w:t>
      </w:r>
      <w:r w:rsidR="00484A36" w:rsidRPr="00C44269">
        <w:rPr>
          <w:rFonts w:ascii="Calibri" w:hAnsi="Calibri" w:cs="Calibri"/>
          <w:szCs w:val="24"/>
        </w:rPr>
        <w:t xml:space="preserve">federal </w:t>
      </w:r>
      <w:r w:rsidR="002E6862" w:rsidRPr="00C44269">
        <w:rPr>
          <w:rFonts w:ascii="Calibri" w:hAnsi="Calibri" w:cs="Calibri"/>
          <w:szCs w:val="24"/>
        </w:rPr>
        <w:t xml:space="preserve">regulators </w:t>
      </w:r>
      <w:hyperlink r:id="rId8" w:history="1">
        <w:r w:rsidR="007D10A2" w:rsidRPr="004A5126">
          <w:rPr>
            <w:rStyle w:val="Hyperlink"/>
            <w:rFonts w:ascii="Calibri" w:hAnsi="Calibri" w:cs="Calibri"/>
            <w:szCs w:val="24"/>
          </w:rPr>
          <w:t>issued joint</w:t>
        </w:r>
        <w:r w:rsidR="002E6862" w:rsidRPr="004A5126">
          <w:rPr>
            <w:rStyle w:val="Hyperlink"/>
            <w:rFonts w:ascii="Calibri" w:hAnsi="Calibri" w:cs="Calibri"/>
            <w:szCs w:val="24"/>
          </w:rPr>
          <w:t xml:space="preserve"> </w:t>
        </w:r>
        <w:r w:rsidR="007D10A2" w:rsidRPr="004A5126">
          <w:rPr>
            <w:rStyle w:val="Hyperlink"/>
            <w:rFonts w:ascii="Calibri" w:hAnsi="Calibri" w:cs="Calibri"/>
            <w:szCs w:val="24"/>
          </w:rPr>
          <w:t>enhanced</w:t>
        </w:r>
        <w:r w:rsidR="00811FD1" w:rsidRPr="004A5126">
          <w:rPr>
            <w:rStyle w:val="Hyperlink"/>
            <w:rFonts w:ascii="Calibri" w:hAnsi="Calibri" w:cs="Calibri"/>
            <w:szCs w:val="24"/>
          </w:rPr>
          <w:t xml:space="preserve"> management </w:t>
        </w:r>
        <w:r w:rsidR="002E6862" w:rsidRPr="004A5126">
          <w:rPr>
            <w:rStyle w:val="Hyperlink"/>
            <w:rFonts w:ascii="Calibri" w:hAnsi="Calibri" w:cs="Calibri"/>
            <w:szCs w:val="24"/>
          </w:rPr>
          <w:t>guidance</w:t>
        </w:r>
      </w:hyperlink>
      <w:r w:rsidR="002E6862" w:rsidRPr="00C44269">
        <w:rPr>
          <w:rFonts w:ascii="Calibri" w:hAnsi="Calibri" w:cs="Calibri"/>
          <w:szCs w:val="24"/>
        </w:rPr>
        <w:t xml:space="preserve"> </w:t>
      </w:r>
      <w:r w:rsidR="007D10A2" w:rsidRPr="00C44269">
        <w:rPr>
          <w:rFonts w:ascii="Calibri" w:hAnsi="Calibri" w:cs="Calibri"/>
          <w:szCs w:val="24"/>
        </w:rPr>
        <w:t xml:space="preserve">in response to </w:t>
      </w:r>
      <w:r w:rsidR="00846CEA" w:rsidRPr="00C44269">
        <w:rPr>
          <w:rFonts w:ascii="Calibri" w:hAnsi="Calibri" w:cs="Calibri"/>
          <w:szCs w:val="24"/>
        </w:rPr>
        <w:t>what they perceived as a growing systemic credit risk for the industry.</w:t>
      </w:r>
      <w:r w:rsidR="00404BF5" w:rsidRPr="00C44269">
        <w:rPr>
          <w:rFonts w:ascii="Calibri" w:hAnsi="Calibri" w:cs="Calibri"/>
          <w:szCs w:val="24"/>
        </w:rPr>
        <w:t xml:space="preserve"> </w:t>
      </w:r>
    </w:p>
    <w:p w14:paraId="47CB085F" w14:textId="77777777" w:rsidR="007C48D6" w:rsidRPr="00C44269" w:rsidRDefault="007C48D6" w:rsidP="00C44269">
      <w:pPr>
        <w:pStyle w:val="NoSpacing"/>
        <w:rPr>
          <w:rFonts w:ascii="Calibri" w:hAnsi="Calibri" w:cs="Calibri"/>
          <w:szCs w:val="24"/>
        </w:rPr>
      </w:pPr>
    </w:p>
    <w:p w14:paraId="40EFC381" w14:textId="7F23B42D" w:rsidR="000854D4" w:rsidRDefault="00B406A9" w:rsidP="00C44269">
      <w:pPr>
        <w:pStyle w:val="NoSpacing"/>
        <w:rPr>
          <w:rFonts w:ascii="Calibri" w:eastAsia="Times New Roman" w:hAnsi="Calibri" w:cs="Calibri"/>
          <w:kern w:val="0"/>
          <w:szCs w:val="24"/>
          <w14:ligatures w14:val="none"/>
        </w:rPr>
      </w:pPr>
      <w:r w:rsidRPr="00C44269">
        <w:rPr>
          <w:rFonts w:ascii="Calibri" w:eastAsia="Times New Roman" w:hAnsi="Calibri" w:cs="Calibri"/>
          <w:noProof/>
          <w:kern w:val="0"/>
          <w:szCs w:val="24"/>
          <w14:ligatures w14:val="none"/>
        </w:rPr>
        <w:drawing>
          <wp:inline distT="0" distB="0" distL="0" distR="0" wp14:anchorId="17C42D31" wp14:editId="77664E82">
            <wp:extent cx="5173082" cy="2320730"/>
            <wp:effectExtent l="0" t="0" r="0" b="3810"/>
            <wp:docPr id="15289336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33665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2" b="6631"/>
                    <a:stretch/>
                  </pic:blipFill>
                  <pic:spPr bwMode="auto">
                    <a:xfrm>
                      <a:off x="0" y="0"/>
                      <a:ext cx="5174100" cy="232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69681" w14:textId="77777777" w:rsidR="00C44269" w:rsidRPr="00C44269" w:rsidRDefault="00C44269" w:rsidP="00C44269">
      <w:pPr>
        <w:pStyle w:val="NoSpacing"/>
        <w:rPr>
          <w:rFonts w:ascii="Calibri" w:eastAsia="Times New Roman" w:hAnsi="Calibri" w:cs="Calibri"/>
          <w:kern w:val="0"/>
          <w:szCs w:val="24"/>
          <w14:ligatures w14:val="none"/>
        </w:rPr>
      </w:pPr>
    </w:p>
    <w:p w14:paraId="05FB8534" w14:textId="363A3FD7" w:rsidR="00C35BA6" w:rsidRDefault="00A6200D" w:rsidP="00C44269">
      <w:pPr>
        <w:pStyle w:val="NoSpacing"/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szCs w:val="24"/>
        </w:rPr>
        <w:t>Likewise</w:t>
      </w:r>
      <w:r w:rsidR="00C6797C" w:rsidRPr="00C44269">
        <w:rPr>
          <w:rFonts w:ascii="Calibri" w:hAnsi="Calibri" w:cs="Calibri"/>
          <w:szCs w:val="24"/>
        </w:rPr>
        <w:t>,</w:t>
      </w:r>
      <w:r w:rsidR="00D438E9" w:rsidRPr="00C44269">
        <w:rPr>
          <w:rFonts w:ascii="Calibri" w:hAnsi="Calibri" w:cs="Calibri"/>
          <w:szCs w:val="24"/>
        </w:rPr>
        <w:t xml:space="preserve"> </w:t>
      </w:r>
      <w:r w:rsidR="007B69F2" w:rsidRPr="00C44269">
        <w:rPr>
          <w:rFonts w:ascii="Calibri" w:hAnsi="Calibri" w:cs="Calibri"/>
          <w:szCs w:val="24"/>
        </w:rPr>
        <w:t xml:space="preserve">in </w:t>
      </w:r>
      <w:r w:rsidR="006D63F7" w:rsidRPr="00C44269">
        <w:rPr>
          <w:rFonts w:ascii="Calibri" w:hAnsi="Calibri" w:cs="Calibri"/>
          <w:szCs w:val="24"/>
        </w:rPr>
        <w:t>the post-</w:t>
      </w:r>
      <w:r w:rsidR="00992B3A" w:rsidRPr="00C44269">
        <w:rPr>
          <w:rFonts w:ascii="Calibri" w:hAnsi="Calibri" w:cs="Calibri"/>
          <w:szCs w:val="24"/>
        </w:rPr>
        <w:t>C</w:t>
      </w:r>
      <w:r w:rsidR="00992B3A">
        <w:rPr>
          <w:rFonts w:ascii="Calibri" w:hAnsi="Calibri" w:cs="Calibri"/>
          <w:szCs w:val="24"/>
        </w:rPr>
        <w:t>OVID</w:t>
      </w:r>
      <w:r w:rsidR="00992B3A" w:rsidRPr="00C44269">
        <w:rPr>
          <w:rFonts w:ascii="Calibri" w:hAnsi="Calibri" w:cs="Calibri"/>
          <w:szCs w:val="24"/>
        </w:rPr>
        <w:t xml:space="preserve"> </w:t>
      </w:r>
      <w:r w:rsidR="006D63F7" w:rsidRPr="00C44269">
        <w:rPr>
          <w:rFonts w:ascii="Calibri" w:hAnsi="Calibri" w:cs="Calibri"/>
          <w:szCs w:val="24"/>
        </w:rPr>
        <w:t>era,</w:t>
      </w:r>
      <w:r w:rsidR="0099693B" w:rsidRPr="00C44269">
        <w:rPr>
          <w:rFonts w:ascii="Calibri" w:hAnsi="Calibri" w:cs="Calibri"/>
          <w:szCs w:val="24"/>
        </w:rPr>
        <w:t xml:space="preserve"> </w:t>
      </w:r>
      <w:r w:rsidR="004F10D9">
        <w:rPr>
          <w:rFonts w:ascii="Calibri" w:hAnsi="Calibri" w:cs="Calibri"/>
          <w:szCs w:val="24"/>
        </w:rPr>
        <w:t xml:space="preserve">the allowance for credit losses, or ACL, </w:t>
      </w:r>
      <w:r w:rsidR="006D63F7" w:rsidRPr="00C44269">
        <w:rPr>
          <w:rFonts w:ascii="Calibri" w:hAnsi="Calibri" w:cs="Calibri"/>
          <w:szCs w:val="24"/>
        </w:rPr>
        <w:t>ha</w:t>
      </w:r>
      <w:r w:rsidR="004F10D9">
        <w:rPr>
          <w:rFonts w:ascii="Calibri" w:hAnsi="Calibri" w:cs="Calibri"/>
          <w:szCs w:val="24"/>
        </w:rPr>
        <w:t>s</w:t>
      </w:r>
      <w:r w:rsidR="006D63F7" w:rsidRPr="00C44269">
        <w:rPr>
          <w:rFonts w:ascii="Calibri" w:hAnsi="Calibri" w:cs="Calibri"/>
          <w:szCs w:val="24"/>
        </w:rPr>
        <w:t xml:space="preserve"> </w:t>
      </w:r>
      <w:r w:rsidR="007B69F2" w:rsidRPr="00C44269">
        <w:rPr>
          <w:rFonts w:ascii="Calibri" w:hAnsi="Calibri" w:cs="Calibri"/>
          <w:szCs w:val="24"/>
        </w:rPr>
        <w:t xml:space="preserve">followed </w:t>
      </w:r>
      <w:r w:rsidR="0099693B" w:rsidRPr="00C44269">
        <w:rPr>
          <w:rFonts w:ascii="Calibri" w:hAnsi="Calibri" w:cs="Calibri"/>
          <w:szCs w:val="24"/>
        </w:rPr>
        <w:t>different trajectories</w:t>
      </w:r>
      <w:r w:rsidR="007B69F2" w:rsidRPr="00C44269">
        <w:rPr>
          <w:rFonts w:ascii="Calibri" w:hAnsi="Calibri" w:cs="Calibri"/>
          <w:szCs w:val="24"/>
        </w:rPr>
        <w:t xml:space="preserve"> for large and small banks</w:t>
      </w:r>
      <w:r w:rsidR="0099693B" w:rsidRPr="00C44269">
        <w:rPr>
          <w:rFonts w:ascii="Calibri" w:hAnsi="Calibri" w:cs="Calibri"/>
          <w:szCs w:val="24"/>
        </w:rPr>
        <w:t>.</w:t>
      </w:r>
      <w:r w:rsidR="004C0193" w:rsidRPr="00C44269">
        <w:rPr>
          <w:rFonts w:ascii="Calibri" w:hAnsi="Calibri" w:cs="Calibri"/>
          <w:szCs w:val="24"/>
        </w:rPr>
        <w:t xml:space="preserve"> </w:t>
      </w:r>
      <w:r w:rsidR="007B69F2" w:rsidRPr="00C44269">
        <w:rPr>
          <w:rFonts w:ascii="Calibri" w:hAnsi="Calibri" w:cs="Calibri"/>
          <w:szCs w:val="24"/>
        </w:rPr>
        <w:t>As shown in the chart above, l</w:t>
      </w:r>
      <w:r w:rsidR="000241D5" w:rsidRPr="00C44269">
        <w:rPr>
          <w:rFonts w:ascii="Calibri" w:hAnsi="Calibri" w:cs="Calibri"/>
          <w:szCs w:val="24"/>
        </w:rPr>
        <w:t xml:space="preserve">arger banks, while </w:t>
      </w:r>
      <w:r w:rsidR="007B69F2" w:rsidRPr="00C44269">
        <w:rPr>
          <w:rFonts w:ascii="Calibri" w:hAnsi="Calibri" w:cs="Calibri"/>
          <w:szCs w:val="24"/>
        </w:rPr>
        <w:t xml:space="preserve">reducing their </w:t>
      </w:r>
      <w:r w:rsidR="000241D5" w:rsidRPr="00C44269">
        <w:rPr>
          <w:rFonts w:ascii="Calibri" w:hAnsi="Calibri" w:cs="Calibri"/>
          <w:szCs w:val="24"/>
        </w:rPr>
        <w:t xml:space="preserve">CRE </w:t>
      </w:r>
      <w:r w:rsidR="007B69F2" w:rsidRPr="00C44269">
        <w:rPr>
          <w:rFonts w:ascii="Calibri" w:hAnsi="Calibri" w:cs="Calibri"/>
          <w:szCs w:val="24"/>
        </w:rPr>
        <w:t xml:space="preserve">exposure, </w:t>
      </w:r>
      <w:r w:rsidR="000241D5" w:rsidRPr="00C44269">
        <w:rPr>
          <w:rFonts w:ascii="Calibri" w:hAnsi="Calibri" w:cs="Calibri"/>
          <w:szCs w:val="24"/>
        </w:rPr>
        <w:t>have increased reserves</w:t>
      </w:r>
      <w:r w:rsidR="007B69F2" w:rsidRPr="00C44269">
        <w:rPr>
          <w:rFonts w:ascii="Calibri" w:hAnsi="Calibri" w:cs="Calibri"/>
          <w:szCs w:val="24"/>
        </w:rPr>
        <w:t>. In contrast,</w:t>
      </w:r>
      <w:r w:rsidR="003F15F8" w:rsidRPr="00C44269">
        <w:rPr>
          <w:rFonts w:ascii="Calibri" w:hAnsi="Calibri" w:cs="Calibri"/>
          <w:szCs w:val="24"/>
        </w:rPr>
        <w:t xml:space="preserve"> the growth</w:t>
      </w:r>
      <w:r w:rsidR="007B69F2" w:rsidRPr="00C44269">
        <w:rPr>
          <w:rFonts w:ascii="Calibri" w:hAnsi="Calibri" w:cs="Calibri"/>
          <w:szCs w:val="24"/>
        </w:rPr>
        <w:t>-to-</w:t>
      </w:r>
      <w:r w:rsidR="003F15F8" w:rsidRPr="00C44269">
        <w:rPr>
          <w:rFonts w:ascii="Calibri" w:hAnsi="Calibri" w:cs="Calibri"/>
          <w:szCs w:val="24"/>
        </w:rPr>
        <w:t>re</w:t>
      </w:r>
      <w:r w:rsidR="009340F5" w:rsidRPr="00C44269">
        <w:rPr>
          <w:rFonts w:ascii="Calibri" w:hAnsi="Calibri" w:cs="Calibri"/>
          <w:szCs w:val="24"/>
        </w:rPr>
        <w:t xml:space="preserve">serve ratio at smaller banks </w:t>
      </w:r>
      <w:r w:rsidR="007B69F2" w:rsidRPr="00C44269">
        <w:rPr>
          <w:rFonts w:ascii="Calibri" w:hAnsi="Calibri" w:cs="Calibri"/>
          <w:szCs w:val="24"/>
        </w:rPr>
        <w:t xml:space="preserve">has remained flat or </w:t>
      </w:r>
      <w:r w:rsidR="009340F5" w:rsidRPr="00C44269">
        <w:rPr>
          <w:rFonts w:ascii="Calibri" w:hAnsi="Calibri" w:cs="Calibri"/>
          <w:szCs w:val="24"/>
        </w:rPr>
        <w:t>inverse.</w:t>
      </w:r>
    </w:p>
    <w:p w14:paraId="3EC92AC4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19DEE6FB" w14:textId="4C72B3B1" w:rsidR="00C35BA6" w:rsidRDefault="00A339F3" w:rsidP="00C44269">
      <w:pPr>
        <w:pStyle w:val="NoSpacing"/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szCs w:val="24"/>
        </w:rPr>
        <w:t xml:space="preserve">While </w:t>
      </w:r>
      <w:r w:rsidR="009B3208" w:rsidRPr="00C44269">
        <w:rPr>
          <w:rFonts w:ascii="Calibri" w:hAnsi="Calibri" w:cs="Calibri"/>
          <w:szCs w:val="24"/>
        </w:rPr>
        <w:t xml:space="preserve">credit quality metrics generally remain healthy, </w:t>
      </w:r>
      <w:r w:rsidR="003C3A44" w:rsidRPr="00C44269">
        <w:rPr>
          <w:rFonts w:ascii="Calibri" w:hAnsi="Calibri" w:cs="Calibri"/>
          <w:szCs w:val="24"/>
        </w:rPr>
        <w:t xml:space="preserve">challenges </w:t>
      </w:r>
      <w:r w:rsidR="007B69F2" w:rsidRPr="00C44269">
        <w:rPr>
          <w:rFonts w:ascii="Calibri" w:hAnsi="Calibri" w:cs="Calibri"/>
          <w:szCs w:val="24"/>
        </w:rPr>
        <w:t xml:space="preserve">are clearly </w:t>
      </w:r>
      <w:r w:rsidR="008D315D" w:rsidRPr="00C44269">
        <w:rPr>
          <w:rFonts w:ascii="Calibri" w:hAnsi="Calibri" w:cs="Calibri"/>
          <w:szCs w:val="24"/>
        </w:rPr>
        <w:t>increasing</w:t>
      </w:r>
      <w:r w:rsidR="00AB6DB3" w:rsidRPr="00C44269">
        <w:rPr>
          <w:rFonts w:ascii="Calibri" w:hAnsi="Calibri" w:cs="Calibri"/>
          <w:szCs w:val="24"/>
        </w:rPr>
        <w:t>.</w:t>
      </w:r>
      <w:r w:rsidR="00BC739F" w:rsidRPr="00C44269">
        <w:rPr>
          <w:rFonts w:ascii="Calibri" w:hAnsi="Calibri" w:cs="Calibri"/>
          <w:szCs w:val="24"/>
        </w:rPr>
        <w:t xml:space="preserve"> </w:t>
      </w:r>
      <w:r w:rsidR="00AB6DB3" w:rsidRPr="00C44269">
        <w:rPr>
          <w:rFonts w:ascii="Calibri" w:hAnsi="Calibri" w:cs="Calibri"/>
          <w:szCs w:val="24"/>
        </w:rPr>
        <w:t xml:space="preserve">They’re </w:t>
      </w:r>
      <w:r w:rsidR="00BC739F" w:rsidRPr="00C44269">
        <w:rPr>
          <w:rFonts w:ascii="Calibri" w:hAnsi="Calibri" w:cs="Calibri"/>
          <w:szCs w:val="24"/>
        </w:rPr>
        <w:t>exacerbated by inflation</w:t>
      </w:r>
      <w:r w:rsidR="00E913EA" w:rsidRPr="00C44269">
        <w:rPr>
          <w:rFonts w:ascii="Calibri" w:hAnsi="Calibri" w:cs="Calibri"/>
          <w:szCs w:val="24"/>
        </w:rPr>
        <w:t xml:space="preserve">, </w:t>
      </w:r>
      <w:r w:rsidR="007B69F2" w:rsidRPr="00C44269">
        <w:rPr>
          <w:rFonts w:ascii="Calibri" w:hAnsi="Calibri" w:cs="Calibri"/>
          <w:szCs w:val="24"/>
        </w:rPr>
        <w:t xml:space="preserve">rising </w:t>
      </w:r>
      <w:r w:rsidR="00E913EA" w:rsidRPr="00C44269">
        <w:rPr>
          <w:rFonts w:ascii="Calibri" w:hAnsi="Calibri" w:cs="Calibri"/>
          <w:szCs w:val="24"/>
        </w:rPr>
        <w:t>i</w:t>
      </w:r>
      <w:r w:rsidR="00BC739F" w:rsidRPr="00C44269">
        <w:rPr>
          <w:rFonts w:ascii="Calibri" w:hAnsi="Calibri" w:cs="Calibri"/>
          <w:szCs w:val="24"/>
        </w:rPr>
        <w:t>nterest rate</w:t>
      </w:r>
      <w:r w:rsidR="007B69F2" w:rsidRPr="00C44269">
        <w:rPr>
          <w:rFonts w:ascii="Calibri" w:hAnsi="Calibri" w:cs="Calibri"/>
          <w:szCs w:val="24"/>
        </w:rPr>
        <w:t>s</w:t>
      </w:r>
      <w:r w:rsidR="00E913EA" w:rsidRPr="00C44269">
        <w:rPr>
          <w:rFonts w:ascii="Calibri" w:hAnsi="Calibri" w:cs="Calibri"/>
          <w:szCs w:val="24"/>
        </w:rPr>
        <w:t xml:space="preserve"> and </w:t>
      </w:r>
      <w:r w:rsidR="00B3531E" w:rsidRPr="00C44269">
        <w:rPr>
          <w:rFonts w:ascii="Calibri" w:hAnsi="Calibri" w:cs="Calibri"/>
          <w:szCs w:val="24"/>
        </w:rPr>
        <w:t xml:space="preserve">pandemic-induced </w:t>
      </w:r>
      <w:r w:rsidR="00E913EA" w:rsidRPr="00C44269">
        <w:rPr>
          <w:rFonts w:ascii="Calibri" w:hAnsi="Calibri" w:cs="Calibri"/>
          <w:szCs w:val="24"/>
        </w:rPr>
        <w:t>paradigm shifts</w:t>
      </w:r>
      <w:r w:rsidR="004A5126">
        <w:rPr>
          <w:rFonts w:ascii="Calibri" w:hAnsi="Calibri" w:cs="Calibri"/>
          <w:szCs w:val="24"/>
        </w:rPr>
        <w:t>,</w:t>
      </w:r>
      <w:r w:rsidR="00E913EA" w:rsidRPr="00C44269">
        <w:rPr>
          <w:rFonts w:ascii="Calibri" w:hAnsi="Calibri" w:cs="Calibri"/>
          <w:szCs w:val="24"/>
        </w:rPr>
        <w:t xml:space="preserve"> </w:t>
      </w:r>
      <w:r w:rsidR="003C3A44" w:rsidRPr="00C44269">
        <w:rPr>
          <w:rFonts w:ascii="Calibri" w:hAnsi="Calibri" w:cs="Calibri"/>
          <w:szCs w:val="24"/>
        </w:rPr>
        <w:t xml:space="preserve">such as </w:t>
      </w:r>
      <w:r w:rsidR="00B3531E" w:rsidRPr="00C44269">
        <w:rPr>
          <w:rFonts w:ascii="Calibri" w:hAnsi="Calibri" w:cs="Calibri"/>
          <w:szCs w:val="24"/>
        </w:rPr>
        <w:t xml:space="preserve">reduced </w:t>
      </w:r>
      <w:r w:rsidR="003C3A44" w:rsidRPr="00C44269">
        <w:rPr>
          <w:rFonts w:ascii="Calibri" w:hAnsi="Calibri" w:cs="Calibri"/>
          <w:szCs w:val="24"/>
        </w:rPr>
        <w:t>office space</w:t>
      </w:r>
      <w:r w:rsidR="00EB6363" w:rsidRPr="00C44269">
        <w:rPr>
          <w:rFonts w:ascii="Calibri" w:hAnsi="Calibri" w:cs="Calibri"/>
          <w:szCs w:val="24"/>
        </w:rPr>
        <w:t xml:space="preserve"> </w:t>
      </w:r>
      <w:r w:rsidR="00981643" w:rsidRPr="00C44269">
        <w:rPr>
          <w:rFonts w:ascii="Calibri" w:hAnsi="Calibri" w:cs="Calibri"/>
          <w:szCs w:val="24"/>
        </w:rPr>
        <w:t xml:space="preserve">usage </w:t>
      </w:r>
      <w:r w:rsidR="00EB6363" w:rsidRPr="00C44269">
        <w:rPr>
          <w:rFonts w:ascii="Calibri" w:hAnsi="Calibri" w:cs="Calibri"/>
          <w:szCs w:val="24"/>
        </w:rPr>
        <w:t xml:space="preserve">and </w:t>
      </w:r>
      <w:r w:rsidR="007B69F2" w:rsidRPr="00C44269">
        <w:rPr>
          <w:rFonts w:ascii="Calibri" w:hAnsi="Calibri" w:cs="Calibri"/>
          <w:szCs w:val="24"/>
        </w:rPr>
        <w:t xml:space="preserve">the impact of decreased </w:t>
      </w:r>
      <w:r w:rsidR="00EB6363" w:rsidRPr="00C44269">
        <w:rPr>
          <w:rFonts w:ascii="Calibri" w:hAnsi="Calibri" w:cs="Calibri"/>
          <w:szCs w:val="24"/>
        </w:rPr>
        <w:t xml:space="preserve">business </w:t>
      </w:r>
      <w:r w:rsidR="003944EF" w:rsidRPr="00C44269">
        <w:rPr>
          <w:rFonts w:ascii="Calibri" w:hAnsi="Calibri" w:cs="Calibri"/>
          <w:szCs w:val="24"/>
        </w:rPr>
        <w:t xml:space="preserve">travel </w:t>
      </w:r>
      <w:r w:rsidR="00B64009" w:rsidRPr="00C44269">
        <w:rPr>
          <w:rFonts w:ascii="Calibri" w:hAnsi="Calibri" w:cs="Calibri"/>
          <w:szCs w:val="24"/>
        </w:rPr>
        <w:t xml:space="preserve">on </w:t>
      </w:r>
      <w:r w:rsidR="007B69F2" w:rsidRPr="00C44269">
        <w:rPr>
          <w:rFonts w:ascii="Calibri" w:hAnsi="Calibri" w:cs="Calibri"/>
          <w:szCs w:val="24"/>
        </w:rPr>
        <w:t xml:space="preserve">the </w:t>
      </w:r>
      <w:r w:rsidR="00B3531E" w:rsidRPr="00C44269">
        <w:rPr>
          <w:rFonts w:ascii="Calibri" w:hAnsi="Calibri" w:cs="Calibri"/>
          <w:szCs w:val="24"/>
        </w:rPr>
        <w:t>hospitality</w:t>
      </w:r>
      <w:r w:rsidR="007B69F2" w:rsidRPr="00C44269">
        <w:rPr>
          <w:rFonts w:ascii="Calibri" w:hAnsi="Calibri" w:cs="Calibri"/>
          <w:szCs w:val="24"/>
        </w:rPr>
        <w:t xml:space="preserve"> industry</w:t>
      </w:r>
      <w:r w:rsidR="00B3531E" w:rsidRPr="00C44269">
        <w:rPr>
          <w:rFonts w:ascii="Calibri" w:hAnsi="Calibri" w:cs="Calibri"/>
          <w:szCs w:val="24"/>
        </w:rPr>
        <w:t>.</w:t>
      </w:r>
      <w:r w:rsidR="00C44269">
        <w:rPr>
          <w:rFonts w:ascii="Calibri" w:hAnsi="Calibri" w:cs="Calibri"/>
          <w:szCs w:val="24"/>
        </w:rPr>
        <w:t xml:space="preserve"> </w:t>
      </w:r>
      <w:r w:rsidR="009B3208" w:rsidRPr="00C44269">
        <w:rPr>
          <w:rFonts w:ascii="Calibri" w:hAnsi="Calibri" w:cs="Calibri"/>
          <w:szCs w:val="24"/>
        </w:rPr>
        <w:t xml:space="preserve"> </w:t>
      </w:r>
    </w:p>
    <w:p w14:paraId="6595523C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6B5C3441" w14:textId="54B1C5CF" w:rsidR="009F07D2" w:rsidRDefault="00BB06CB" w:rsidP="00C44269">
      <w:pPr>
        <w:pStyle w:val="NoSpacing"/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szCs w:val="24"/>
        </w:rPr>
        <w:t>There is no lo</w:t>
      </w:r>
      <w:r w:rsidR="00A870FC" w:rsidRPr="00C44269">
        <w:rPr>
          <w:rFonts w:ascii="Calibri" w:hAnsi="Calibri" w:cs="Calibri"/>
          <w:szCs w:val="24"/>
        </w:rPr>
        <w:t xml:space="preserve">nger doubt that regulatory </w:t>
      </w:r>
      <w:r w:rsidR="007B69F2" w:rsidRPr="00C44269">
        <w:rPr>
          <w:rFonts w:ascii="Calibri" w:hAnsi="Calibri" w:cs="Calibri"/>
          <w:szCs w:val="24"/>
        </w:rPr>
        <w:t xml:space="preserve">scrutiny on </w:t>
      </w:r>
      <w:r w:rsidR="00A870FC" w:rsidRPr="00C44269">
        <w:rPr>
          <w:rFonts w:ascii="Calibri" w:hAnsi="Calibri" w:cs="Calibri"/>
          <w:szCs w:val="24"/>
        </w:rPr>
        <w:t xml:space="preserve">safety and soundness </w:t>
      </w:r>
      <w:r w:rsidR="007B6EF6" w:rsidRPr="00C44269">
        <w:rPr>
          <w:rFonts w:ascii="Calibri" w:hAnsi="Calibri" w:cs="Calibri"/>
          <w:szCs w:val="24"/>
        </w:rPr>
        <w:t xml:space="preserve">is </w:t>
      </w:r>
      <w:r w:rsidR="0078528D" w:rsidRPr="00C44269">
        <w:rPr>
          <w:rFonts w:ascii="Calibri" w:hAnsi="Calibri" w:cs="Calibri"/>
          <w:szCs w:val="24"/>
        </w:rPr>
        <w:t>increasing, particularly</w:t>
      </w:r>
      <w:r w:rsidR="007B69F2" w:rsidRPr="00C44269">
        <w:rPr>
          <w:rFonts w:ascii="Calibri" w:hAnsi="Calibri" w:cs="Calibri"/>
          <w:szCs w:val="24"/>
        </w:rPr>
        <w:t xml:space="preserve"> </w:t>
      </w:r>
      <w:r w:rsidR="0078528D" w:rsidRPr="00C44269">
        <w:rPr>
          <w:rFonts w:ascii="Calibri" w:hAnsi="Calibri" w:cs="Calibri"/>
          <w:szCs w:val="24"/>
        </w:rPr>
        <w:t xml:space="preserve">for community banks with </w:t>
      </w:r>
      <w:r w:rsidR="00F42F57" w:rsidRPr="00C44269">
        <w:rPr>
          <w:rFonts w:ascii="Calibri" w:hAnsi="Calibri" w:cs="Calibri"/>
          <w:szCs w:val="24"/>
        </w:rPr>
        <w:t xml:space="preserve">strong CRE </w:t>
      </w:r>
      <w:r w:rsidR="008C2203" w:rsidRPr="00C44269">
        <w:rPr>
          <w:rFonts w:ascii="Calibri" w:hAnsi="Calibri" w:cs="Calibri"/>
          <w:szCs w:val="24"/>
        </w:rPr>
        <w:t>dependence</w:t>
      </w:r>
      <w:r w:rsidR="00F42F57" w:rsidRPr="00C44269">
        <w:rPr>
          <w:rFonts w:ascii="Calibri" w:hAnsi="Calibri" w:cs="Calibri"/>
          <w:szCs w:val="24"/>
        </w:rPr>
        <w:t>.</w:t>
      </w:r>
      <w:r w:rsidR="007B6EF6" w:rsidRPr="00C44269">
        <w:rPr>
          <w:rFonts w:ascii="Calibri" w:hAnsi="Calibri" w:cs="Calibri"/>
          <w:szCs w:val="24"/>
        </w:rPr>
        <w:t xml:space="preserve"> </w:t>
      </w:r>
      <w:r w:rsidR="004771E6" w:rsidRPr="00C44269">
        <w:rPr>
          <w:rFonts w:ascii="Calibri" w:hAnsi="Calibri" w:cs="Calibri"/>
          <w:szCs w:val="24"/>
        </w:rPr>
        <w:t xml:space="preserve">Regulatory orders to </w:t>
      </w:r>
      <w:r w:rsidR="004771E6" w:rsidRPr="00C44269">
        <w:rPr>
          <w:rFonts w:ascii="Calibri" w:hAnsi="Calibri" w:cs="Calibri"/>
          <w:szCs w:val="24"/>
        </w:rPr>
        <w:lastRenderedPageBreak/>
        <w:t xml:space="preserve">management and boards are on the </w:t>
      </w:r>
      <w:r w:rsidR="0078528D" w:rsidRPr="00C44269">
        <w:rPr>
          <w:rFonts w:ascii="Calibri" w:hAnsi="Calibri" w:cs="Calibri"/>
          <w:szCs w:val="24"/>
        </w:rPr>
        <w:t>rise, with</w:t>
      </w:r>
      <w:r w:rsidR="004771E6" w:rsidRPr="00C44269">
        <w:rPr>
          <w:rFonts w:ascii="Calibri" w:hAnsi="Calibri" w:cs="Calibri"/>
          <w:szCs w:val="24"/>
        </w:rPr>
        <w:t xml:space="preserve"> </w:t>
      </w:r>
      <w:r w:rsidR="00305B3F" w:rsidRPr="00C44269">
        <w:rPr>
          <w:rFonts w:ascii="Calibri" w:hAnsi="Calibri" w:cs="Calibri"/>
          <w:szCs w:val="24"/>
        </w:rPr>
        <w:t xml:space="preserve">a common focus </w:t>
      </w:r>
      <w:r w:rsidR="00305B3F" w:rsidRPr="004A5126">
        <w:rPr>
          <w:rFonts w:ascii="Calibri" w:hAnsi="Calibri" w:cs="Calibri"/>
          <w:szCs w:val="24"/>
        </w:rPr>
        <w:t xml:space="preserve">on </w:t>
      </w:r>
      <w:r w:rsidR="00305B3F" w:rsidRPr="00851819">
        <w:rPr>
          <w:rFonts w:ascii="Calibri" w:hAnsi="Calibri" w:cs="Calibri"/>
          <w:i/>
          <w:iCs/>
          <w:szCs w:val="24"/>
        </w:rPr>
        <w:t>credit processes</w:t>
      </w:r>
      <w:r w:rsidR="0078528D" w:rsidRPr="00C44269">
        <w:rPr>
          <w:rFonts w:ascii="Calibri" w:hAnsi="Calibri" w:cs="Calibri"/>
          <w:i/>
          <w:iCs/>
          <w:szCs w:val="24"/>
        </w:rPr>
        <w:t xml:space="preserve"> </w:t>
      </w:r>
      <w:r w:rsidR="0078528D" w:rsidRPr="00C44269">
        <w:rPr>
          <w:rFonts w:ascii="Calibri" w:hAnsi="Calibri" w:cs="Calibri"/>
          <w:szCs w:val="24"/>
        </w:rPr>
        <w:t>rather than</w:t>
      </w:r>
      <w:r w:rsidR="0097777F" w:rsidRPr="00C44269">
        <w:rPr>
          <w:rFonts w:ascii="Calibri" w:hAnsi="Calibri" w:cs="Calibri"/>
          <w:szCs w:val="24"/>
        </w:rPr>
        <w:t xml:space="preserve"> transaction</w:t>
      </w:r>
      <w:r w:rsidR="00F17A45" w:rsidRPr="00C44269">
        <w:rPr>
          <w:rFonts w:ascii="Calibri" w:hAnsi="Calibri" w:cs="Calibri"/>
          <w:szCs w:val="24"/>
        </w:rPr>
        <w:t>al</w:t>
      </w:r>
      <w:r w:rsidR="0097777F" w:rsidRPr="00C44269">
        <w:rPr>
          <w:rFonts w:ascii="Calibri" w:hAnsi="Calibri" w:cs="Calibri"/>
          <w:szCs w:val="24"/>
        </w:rPr>
        <w:t xml:space="preserve"> credit deterioration</w:t>
      </w:r>
      <w:r w:rsidR="00305B3F" w:rsidRPr="00C44269">
        <w:rPr>
          <w:rFonts w:ascii="Calibri" w:hAnsi="Calibri" w:cs="Calibri"/>
          <w:i/>
          <w:iCs/>
          <w:szCs w:val="24"/>
        </w:rPr>
        <w:t>.</w:t>
      </w:r>
      <w:r w:rsidR="00C44269">
        <w:rPr>
          <w:rFonts w:ascii="Calibri" w:hAnsi="Calibri" w:cs="Calibri"/>
          <w:i/>
          <w:iCs/>
          <w:szCs w:val="24"/>
        </w:rPr>
        <w:t xml:space="preserve"> </w:t>
      </w:r>
      <w:r w:rsidR="00972199" w:rsidRPr="00C44269">
        <w:rPr>
          <w:rFonts w:ascii="Calibri" w:hAnsi="Calibri" w:cs="Calibri"/>
          <w:szCs w:val="24"/>
        </w:rPr>
        <w:t xml:space="preserve"> </w:t>
      </w:r>
    </w:p>
    <w:p w14:paraId="5DDCBADA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26A07A46" w14:textId="77777777" w:rsidR="00992B3A" w:rsidRDefault="00F17A45" w:rsidP="00C44269">
      <w:pPr>
        <w:pStyle w:val="NoSpacing"/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szCs w:val="24"/>
        </w:rPr>
        <w:t>So</w:t>
      </w:r>
      <w:r w:rsidR="0091522E" w:rsidRPr="00C44269">
        <w:rPr>
          <w:rFonts w:ascii="Calibri" w:hAnsi="Calibri" w:cs="Calibri"/>
          <w:szCs w:val="24"/>
        </w:rPr>
        <w:t>,</w:t>
      </w:r>
      <w:r w:rsidRPr="00C44269">
        <w:rPr>
          <w:rFonts w:ascii="Calibri" w:hAnsi="Calibri" w:cs="Calibri"/>
          <w:szCs w:val="24"/>
        </w:rPr>
        <w:t xml:space="preserve"> what </w:t>
      </w:r>
      <w:r w:rsidR="0078528D" w:rsidRPr="00C44269">
        <w:rPr>
          <w:rFonts w:ascii="Calibri" w:hAnsi="Calibri" w:cs="Calibri"/>
          <w:szCs w:val="24"/>
        </w:rPr>
        <w:t xml:space="preserve">should </w:t>
      </w:r>
      <w:r w:rsidR="002F5829" w:rsidRPr="00C44269">
        <w:rPr>
          <w:rFonts w:ascii="Calibri" w:hAnsi="Calibri" w:cs="Calibri"/>
          <w:szCs w:val="24"/>
        </w:rPr>
        <w:t>community bank</w:t>
      </w:r>
      <w:r w:rsidR="00DB58D6" w:rsidRPr="00C44269">
        <w:rPr>
          <w:rFonts w:ascii="Calibri" w:hAnsi="Calibri" w:cs="Calibri"/>
          <w:szCs w:val="24"/>
        </w:rPr>
        <w:t>s</w:t>
      </w:r>
      <w:r w:rsidR="002F5829" w:rsidRPr="00C44269">
        <w:rPr>
          <w:rFonts w:ascii="Calibri" w:hAnsi="Calibri" w:cs="Calibri"/>
          <w:szCs w:val="24"/>
        </w:rPr>
        <w:t xml:space="preserve"> </w:t>
      </w:r>
      <w:r w:rsidR="00DB58D6" w:rsidRPr="00C44269">
        <w:rPr>
          <w:rFonts w:ascii="Calibri" w:hAnsi="Calibri" w:cs="Calibri"/>
          <w:szCs w:val="24"/>
        </w:rPr>
        <w:t xml:space="preserve">do if they are </w:t>
      </w:r>
      <w:r w:rsidR="002F5829" w:rsidRPr="00C44269">
        <w:rPr>
          <w:rFonts w:ascii="Calibri" w:hAnsi="Calibri" w:cs="Calibri"/>
          <w:szCs w:val="24"/>
        </w:rPr>
        <w:t xml:space="preserve">becoming a larger target for </w:t>
      </w:r>
      <w:r w:rsidR="00FF60E2" w:rsidRPr="00C44269">
        <w:rPr>
          <w:rFonts w:ascii="Calibri" w:hAnsi="Calibri" w:cs="Calibri"/>
          <w:szCs w:val="24"/>
        </w:rPr>
        <w:t>regulatory scrutiny</w:t>
      </w:r>
      <w:r w:rsidRPr="00C44269">
        <w:rPr>
          <w:rFonts w:ascii="Calibri" w:hAnsi="Calibri" w:cs="Calibri"/>
          <w:szCs w:val="24"/>
        </w:rPr>
        <w:t xml:space="preserve">? </w:t>
      </w:r>
      <w:r w:rsidR="00DC62A4" w:rsidRPr="00C44269">
        <w:rPr>
          <w:rFonts w:ascii="Calibri" w:hAnsi="Calibri" w:cs="Calibri"/>
          <w:szCs w:val="24"/>
        </w:rPr>
        <w:t xml:space="preserve">Improve </w:t>
      </w:r>
      <w:r w:rsidR="00DB58D6" w:rsidRPr="00C44269">
        <w:rPr>
          <w:rFonts w:ascii="Calibri" w:hAnsi="Calibri" w:cs="Calibri"/>
          <w:szCs w:val="24"/>
        </w:rPr>
        <w:t xml:space="preserve">their </w:t>
      </w:r>
      <w:r w:rsidR="003E57CE" w:rsidRPr="00C44269">
        <w:rPr>
          <w:rFonts w:ascii="Calibri" w:hAnsi="Calibri" w:cs="Calibri"/>
          <w:szCs w:val="24"/>
        </w:rPr>
        <w:t>credit processes</w:t>
      </w:r>
      <w:r w:rsidR="003B3696" w:rsidRPr="00C44269">
        <w:rPr>
          <w:rFonts w:ascii="Calibri" w:hAnsi="Calibri" w:cs="Calibri"/>
          <w:szCs w:val="24"/>
        </w:rPr>
        <w:t xml:space="preserve">, </w:t>
      </w:r>
      <w:r w:rsidR="0078528D" w:rsidRPr="00C44269">
        <w:rPr>
          <w:rFonts w:ascii="Calibri" w:hAnsi="Calibri" w:cs="Calibri"/>
          <w:szCs w:val="24"/>
        </w:rPr>
        <w:t xml:space="preserve">especially </w:t>
      </w:r>
      <w:r w:rsidR="00DB58D6" w:rsidRPr="00C44269">
        <w:rPr>
          <w:rFonts w:ascii="Calibri" w:hAnsi="Calibri" w:cs="Calibri"/>
          <w:szCs w:val="24"/>
        </w:rPr>
        <w:t xml:space="preserve">the </w:t>
      </w:r>
      <w:r w:rsidR="005B4327" w:rsidRPr="00C44269">
        <w:rPr>
          <w:rFonts w:ascii="Calibri" w:hAnsi="Calibri" w:cs="Calibri"/>
          <w:szCs w:val="24"/>
        </w:rPr>
        <w:t xml:space="preserve">awareness and oversight of </w:t>
      </w:r>
      <w:r w:rsidR="00DB58D6" w:rsidRPr="00C44269">
        <w:rPr>
          <w:rFonts w:ascii="Calibri" w:hAnsi="Calibri" w:cs="Calibri"/>
          <w:szCs w:val="24"/>
        </w:rPr>
        <w:t xml:space="preserve">the </w:t>
      </w:r>
      <w:r w:rsidR="005B4327" w:rsidRPr="00C44269">
        <w:rPr>
          <w:rFonts w:ascii="Calibri" w:hAnsi="Calibri" w:cs="Calibri"/>
          <w:szCs w:val="24"/>
        </w:rPr>
        <w:t xml:space="preserve">CRE loan </w:t>
      </w:r>
      <w:r w:rsidR="0078528D" w:rsidRPr="00C44269">
        <w:rPr>
          <w:rFonts w:ascii="Calibri" w:hAnsi="Calibri" w:cs="Calibri"/>
          <w:szCs w:val="24"/>
        </w:rPr>
        <w:t>portfolio</w:t>
      </w:r>
      <w:r w:rsidR="00241F85" w:rsidRPr="00C44269">
        <w:rPr>
          <w:rFonts w:ascii="Calibri" w:hAnsi="Calibri" w:cs="Calibri"/>
          <w:szCs w:val="24"/>
        </w:rPr>
        <w:t>.</w:t>
      </w:r>
      <w:r w:rsidR="003E57CE" w:rsidRPr="00C44269">
        <w:rPr>
          <w:rFonts w:ascii="Calibri" w:hAnsi="Calibri" w:cs="Calibri"/>
          <w:szCs w:val="24"/>
        </w:rPr>
        <w:t xml:space="preserve"> </w:t>
      </w:r>
    </w:p>
    <w:p w14:paraId="65905008" w14:textId="77777777" w:rsidR="00992B3A" w:rsidRDefault="00992B3A" w:rsidP="00C44269">
      <w:pPr>
        <w:pStyle w:val="NoSpacing"/>
        <w:rPr>
          <w:rFonts w:ascii="Calibri" w:hAnsi="Calibri" w:cs="Calibri"/>
          <w:szCs w:val="24"/>
        </w:rPr>
      </w:pPr>
    </w:p>
    <w:p w14:paraId="3C67158C" w14:textId="108BFDB2" w:rsidR="00191A71" w:rsidRDefault="007D6F2A" w:rsidP="00C44269">
      <w:pPr>
        <w:pStyle w:val="NoSpacing"/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szCs w:val="24"/>
        </w:rPr>
        <w:t>For all banks,</w:t>
      </w:r>
      <w:r w:rsidR="00511B41" w:rsidRPr="00C44269">
        <w:rPr>
          <w:rFonts w:ascii="Calibri" w:hAnsi="Calibri" w:cs="Calibri"/>
          <w:szCs w:val="24"/>
        </w:rPr>
        <w:t xml:space="preserve"> </w:t>
      </w:r>
      <w:r w:rsidR="00770B9B" w:rsidRPr="00C44269">
        <w:rPr>
          <w:rFonts w:ascii="Calibri" w:hAnsi="Calibri" w:cs="Calibri"/>
          <w:szCs w:val="24"/>
        </w:rPr>
        <w:t>and particularly those</w:t>
      </w:r>
      <w:r w:rsidRPr="00C44269">
        <w:rPr>
          <w:rFonts w:ascii="Calibri" w:hAnsi="Calibri" w:cs="Calibri"/>
          <w:szCs w:val="24"/>
        </w:rPr>
        <w:t xml:space="preserve"> </w:t>
      </w:r>
      <w:r w:rsidR="00770B9B" w:rsidRPr="00C44269">
        <w:rPr>
          <w:rFonts w:ascii="Calibri" w:hAnsi="Calibri" w:cs="Calibri"/>
          <w:szCs w:val="24"/>
        </w:rPr>
        <w:t xml:space="preserve">continuing to </w:t>
      </w:r>
      <w:r w:rsidR="00BC020A" w:rsidRPr="00C44269">
        <w:rPr>
          <w:rFonts w:ascii="Calibri" w:hAnsi="Calibri" w:cs="Calibri"/>
          <w:szCs w:val="24"/>
        </w:rPr>
        <w:t xml:space="preserve">grow </w:t>
      </w:r>
      <w:r w:rsidRPr="00C44269">
        <w:rPr>
          <w:rFonts w:ascii="Calibri" w:hAnsi="Calibri" w:cs="Calibri"/>
          <w:szCs w:val="24"/>
        </w:rPr>
        <w:t xml:space="preserve">their </w:t>
      </w:r>
      <w:r w:rsidR="00BC020A" w:rsidRPr="00C44269">
        <w:rPr>
          <w:rFonts w:ascii="Calibri" w:hAnsi="Calibri" w:cs="Calibri"/>
          <w:szCs w:val="24"/>
        </w:rPr>
        <w:t>CRE portfolios</w:t>
      </w:r>
      <w:r w:rsidRPr="00C44269">
        <w:rPr>
          <w:rFonts w:ascii="Calibri" w:hAnsi="Calibri" w:cs="Calibri"/>
          <w:szCs w:val="24"/>
        </w:rPr>
        <w:t>,</w:t>
      </w:r>
      <w:r w:rsidR="00BC020A" w:rsidRPr="00C44269">
        <w:rPr>
          <w:rFonts w:ascii="Calibri" w:hAnsi="Calibri" w:cs="Calibri"/>
          <w:szCs w:val="24"/>
        </w:rPr>
        <w:t xml:space="preserve"> con</w:t>
      </w:r>
      <w:r w:rsidR="0090791A" w:rsidRPr="00C44269">
        <w:rPr>
          <w:rFonts w:ascii="Calibri" w:hAnsi="Calibri" w:cs="Calibri"/>
          <w:szCs w:val="24"/>
        </w:rPr>
        <w:t>sider the following</w:t>
      </w:r>
      <w:r w:rsidRPr="00C44269">
        <w:rPr>
          <w:rFonts w:ascii="Calibri" w:hAnsi="Calibri" w:cs="Calibri"/>
          <w:szCs w:val="24"/>
        </w:rPr>
        <w:t xml:space="preserve"> strategies</w:t>
      </w:r>
      <w:r w:rsidR="0090791A" w:rsidRPr="00C44269">
        <w:rPr>
          <w:rFonts w:ascii="Calibri" w:hAnsi="Calibri" w:cs="Calibri"/>
          <w:szCs w:val="24"/>
        </w:rPr>
        <w:t>:</w:t>
      </w:r>
      <w:r w:rsidR="00511B41" w:rsidRPr="00C44269">
        <w:rPr>
          <w:rFonts w:ascii="Calibri" w:hAnsi="Calibri" w:cs="Calibri"/>
          <w:szCs w:val="24"/>
        </w:rPr>
        <w:t xml:space="preserve"> </w:t>
      </w:r>
    </w:p>
    <w:p w14:paraId="0A21642A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6E4BA1AA" w14:textId="00CD94F8" w:rsidR="004F46FB" w:rsidRDefault="004F46FB" w:rsidP="00C44269">
      <w:pPr>
        <w:pStyle w:val="NoSpacing"/>
        <w:numPr>
          <w:ilvl w:val="0"/>
          <w:numId w:val="2"/>
        </w:numPr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b/>
          <w:bCs/>
          <w:szCs w:val="24"/>
        </w:rPr>
        <w:t>Deepen CRE concentration assessments</w:t>
      </w:r>
      <w:r w:rsidR="00AB6DB3" w:rsidRPr="00C44269">
        <w:rPr>
          <w:rFonts w:ascii="Calibri" w:hAnsi="Calibri" w:cs="Calibri"/>
          <w:b/>
          <w:bCs/>
          <w:szCs w:val="24"/>
        </w:rPr>
        <w:t>.</w:t>
      </w:r>
      <w:r w:rsidR="007D6F2A" w:rsidRPr="00C44269">
        <w:rPr>
          <w:rFonts w:ascii="Calibri" w:hAnsi="Calibri" w:cs="Calibri"/>
          <w:szCs w:val="24"/>
        </w:rPr>
        <w:t xml:space="preserve"> </w:t>
      </w:r>
      <w:r w:rsidR="00BB61FA" w:rsidRPr="00C44269">
        <w:rPr>
          <w:rFonts w:ascii="Calibri" w:hAnsi="Calibri" w:cs="Calibri"/>
          <w:szCs w:val="24"/>
        </w:rPr>
        <w:t xml:space="preserve">Don’t </w:t>
      </w:r>
      <w:r w:rsidR="007D6F2A" w:rsidRPr="00C44269">
        <w:rPr>
          <w:rFonts w:ascii="Calibri" w:hAnsi="Calibri" w:cs="Calibri"/>
          <w:szCs w:val="24"/>
        </w:rPr>
        <w:t>focus</w:t>
      </w:r>
      <w:r w:rsidR="00234FDA" w:rsidRPr="00C44269">
        <w:rPr>
          <w:rFonts w:ascii="Calibri" w:hAnsi="Calibri" w:cs="Calibri"/>
          <w:szCs w:val="24"/>
        </w:rPr>
        <w:t xml:space="preserve"> </w:t>
      </w:r>
      <w:r w:rsidR="007D6F2A" w:rsidRPr="00C44269">
        <w:rPr>
          <w:rFonts w:ascii="Calibri" w:hAnsi="Calibri" w:cs="Calibri"/>
          <w:szCs w:val="24"/>
        </w:rPr>
        <w:t xml:space="preserve">solely </w:t>
      </w:r>
      <w:r w:rsidR="00234FDA" w:rsidRPr="00C44269">
        <w:rPr>
          <w:rFonts w:ascii="Calibri" w:hAnsi="Calibri" w:cs="Calibri"/>
          <w:szCs w:val="24"/>
        </w:rPr>
        <w:t xml:space="preserve">on the </w:t>
      </w:r>
      <w:r w:rsidR="00246DFA" w:rsidRPr="00C44269">
        <w:rPr>
          <w:rFonts w:ascii="Calibri" w:hAnsi="Calibri" w:cs="Calibri"/>
          <w:szCs w:val="24"/>
        </w:rPr>
        <w:t>broader</w:t>
      </w:r>
      <w:r w:rsidR="007D6F2A" w:rsidRPr="00C44269">
        <w:rPr>
          <w:rFonts w:ascii="Calibri" w:hAnsi="Calibri" w:cs="Calibri"/>
          <w:szCs w:val="24"/>
        </w:rPr>
        <w:t xml:space="preserve"> </w:t>
      </w:r>
      <w:r w:rsidR="00234FDA" w:rsidRPr="00C44269">
        <w:rPr>
          <w:rFonts w:ascii="Calibri" w:hAnsi="Calibri" w:cs="Calibri"/>
          <w:szCs w:val="24"/>
        </w:rPr>
        <w:t>100/300 percentages</w:t>
      </w:r>
      <w:r w:rsidR="00B15470" w:rsidRPr="00C44269">
        <w:rPr>
          <w:rFonts w:ascii="Calibri" w:hAnsi="Calibri" w:cs="Calibri"/>
          <w:szCs w:val="24"/>
        </w:rPr>
        <w:t xml:space="preserve"> of risk-based capital </w:t>
      </w:r>
      <w:r w:rsidR="007D6F2A" w:rsidRPr="00C44269">
        <w:rPr>
          <w:rFonts w:ascii="Calibri" w:hAnsi="Calibri" w:cs="Calibri"/>
          <w:szCs w:val="24"/>
        </w:rPr>
        <w:t xml:space="preserve">guidance. Instead, </w:t>
      </w:r>
      <w:r w:rsidR="00E82CBB" w:rsidRPr="00C44269">
        <w:rPr>
          <w:rFonts w:ascii="Calibri" w:hAnsi="Calibri" w:cs="Calibri"/>
          <w:szCs w:val="24"/>
        </w:rPr>
        <w:t>emphasize</w:t>
      </w:r>
      <w:r w:rsidR="006C20B0" w:rsidRPr="00C44269">
        <w:rPr>
          <w:rFonts w:ascii="Calibri" w:hAnsi="Calibri" w:cs="Calibri"/>
          <w:szCs w:val="24"/>
        </w:rPr>
        <w:t xml:space="preserve"> </w:t>
      </w:r>
      <w:r w:rsidR="007D6657" w:rsidRPr="00C44269">
        <w:rPr>
          <w:rFonts w:ascii="Calibri" w:hAnsi="Calibri" w:cs="Calibri"/>
          <w:szCs w:val="24"/>
        </w:rPr>
        <w:t>and analy</w:t>
      </w:r>
      <w:r w:rsidR="007D6F2A" w:rsidRPr="00C44269">
        <w:rPr>
          <w:rFonts w:ascii="Calibri" w:hAnsi="Calibri" w:cs="Calibri"/>
          <w:szCs w:val="24"/>
        </w:rPr>
        <w:t>ze</w:t>
      </w:r>
      <w:r w:rsidR="007D6657" w:rsidRPr="00C44269">
        <w:rPr>
          <w:rFonts w:ascii="Calibri" w:hAnsi="Calibri" w:cs="Calibri"/>
          <w:szCs w:val="24"/>
        </w:rPr>
        <w:t xml:space="preserve"> </w:t>
      </w:r>
      <w:r w:rsidR="006C20B0" w:rsidRPr="00C44269">
        <w:rPr>
          <w:rFonts w:ascii="Calibri" w:hAnsi="Calibri" w:cs="Calibri"/>
          <w:szCs w:val="24"/>
        </w:rPr>
        <w:t xml:space="preserve">the various CRE loan product subsets that </w:t>
      </w:r>
      <w:r w:rsidR="007D6F2A" w:rsidRPr="00C44269">
        <w:rPr>
          <w:rFonts w:ascii="Calibri" w:hAnsi="Calibri" w:cs="Calibri"/>
          <w:szCs w:val="24"/>
        </w:rPr>
        <w:t>comprise</w:t>
      </w:r>
      <w:r w:rsidR="006C20B0" w:rsidRPr="00C44269">
        <w:rPr>
          <w:rFonts w:ascii="Calibri" w:hAnsi="Calibri" w:cs="Calibri"/>
          <w:szCs w:val="24"/>
        </w:rPr>
        <w:t xml:space="preserve"> concentrations</w:t>
      </w:r>
      <w:r w:rsidR="00AF0A66" w:rsidRPr="00C44269">
        <w:rPr>
          <w:rFonts w:ascii="Calibri" w:hAnsi="Calibri" w:cs="Calibri"/>
          <w:szCs w:val="24"/>
        </w:rPr>
        <w:t>.</w:t>
      </w:r>
    </w:p>
    <w:p w14:paraId="775C2429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6685D82A" w14:textId="69D8A9F6" w:rsidR="004F46FB" w:rsidRDefault="008E6839" w:rsidP="00C44269">
      <w:pPr>
        <w:pStyle w:val="NoSpacing"/>
        <w:numPr>
          <w:ilvl w:val="0"/>
          <w:numId w:val="2"/>
        </w:numPr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b/>
          <w:bCs/>
          <w:szCs w:val="24"/>
        </w:rPr>
        <w:t xml:space="preserve">Recognize </w:t>
      </w:r>
      <w:r w:rsidR="00BB770E" w:rsidRPr="00C44269">
        <w:rPr>
          <w:rFonts w:ascii="Calibri" w:hAnsi="Calibri" w:cs="Calibri"/>
          <w:b/>
          <w:bCs/>
          <w:szCs w:val="24"/>
        </w:rPr>
        <w:t xml:space="preserve">that the risk </w:t>
      </w:r>
      <w:r w:rsidR="00445A6D" w:rsidRPr="00C44269">
        <w:rPr>
          <w:rFonts w:ascii="Calibri" w:hAnsi="Calibri" w:cs="Calibri"/>
          <w:b/>
          <w:bCs/>
          <w:szCs w:val="24"/>
        </w:rPr>
        <w:t xml:space="preserve">is more </w:t>
      </w:r>
      <w:r w:rsidR="00705981" w:rsidRPr="00C44269">
        <w:rPr>
          <w:rFonts w:ascii="Calibri" w:hAnsi="Calibri" w:cs="Calibri"/>
          <w:b/>
          <w:bCs/>
          <w:szCs w:val="24"/>
        </w:rPr>
        <w:t>dimensional</w:t>
      </w:r>
      <w:r w:rsidR="00AB6DB3" w:rsidRPr="00C44269">
        <w:rPr>
          <w:rFonts w:ascii="Calibri" w:hAnsi="Calibri" w:cs="Calibri"/>
          <w:b/>
          <w:bCs/>
          <w:szCs w:val="24"/>
        </w:rPr>
        <w:t>.</w:t>
      </w:r>
      <w:r w:rsidR="007D6F2A" w:rsidRPr="00C44269">
        <w:rPr>
          <w:rFonts w:ascii="Calibri" w:hAnsi="Calibri" w:cs="Calibri"/>
          <w:szCs w:val="24"/>
        </w:rPr>
        <w:t xml:space="preserve"> Understand that risk encompasses more</w:t>
      </w:r>
      <w:r w:rsidR="00705981" w:rsidRPr="00C44269">
        <w:rPr>
          <w:rFonts w:ascii="Calibri" w:hAnsi="Calibri" w:cs="Calibri"/>
          <w:szCs w:val="24"/>
        </w:rPr>
        <w:t xml:space="preserve"> </w:t>
      </w:r>
      <w:r w:rsidR="00445A6D" w:rsidRPr="00C44269">
        <w:rPr>
          <w:rFonts w:ascii="Calibri" w:hAnsi="Calibri" w:cs="Calibri"/>
          <w:szCs w:val="24"/>
        </w:rPr>
        <w:t xml:space="preserve">than just the </w:t>
      </w:r>
      <w:r w:rsidR="007D6F2A" w:rsidRPr="00C44269">
        <w:rPr>
          <w:rFonts w:ascii="Calibri" w:hAnsi="Calibri" w:cs="Calibri"/>
          <w:szCs w:val="24"/>
        </w:rPr>
        <w:t xml:space="preserve">borrower’s </w:t>
      </w:r>
      <w:r w:rsidR="00445A6D" w:rsidRPr="00C44269">
        <w:rPr>
          <w:rFonts w:ascii="Calibri" w:hAnsi="Calibri" w:cs="Calibri"/>
          <w:szCs w:val="24"/>
        </w:rPr>
        <w:t xml:space="preserve">traditional </w:t>
      </w:r>
      <w:r w:rsidR="007C3ABB" w:rsidRPr="00C44269">
        <w:rPr>
          <w:rFonts w:ascii="Calibri" w:hAnsi="Calibri" w:cs="Calibri"/>
          <w:szCs w:val="24"/>
        </w:rPr>
        <w:t>repayment capacity</w:t>
      </w:r>
      <w:r w:rsidR="007D6F2A" w:rsidRPr="00C44269">
        <w:rPr>
          <w:rFonts w:ascii="Calibri" w:hAnsi="Calibri" w:cs="Calibri"/>
          <w:szCs w:val="24"/>
        </w:rPr>
        <w:t>. It also includes</w:t>
      </w:r>
      <w:r w:rsidR="00AF0A66" w:rsidRPr="00C44269">
        <w:rPr>
          <w:rFonts w:ascii="Calibri" w:hAnsi="Calibri" w:cs="Calibri"/>
          <w:szCs w:val="24"/>
        </w:rPr>
        <w:t xml:space="preserve"> the </w:t>
      </w:r>
      <w:r w:rsidR="0069260C" w:rsidRPr="00C44269">
        <w:rPr>
          <w:rFonts w:ascii="Calibri" w:hAnsi="Calibri" w:cs="Calibri"/>
          <w:szCs w:val="24"/>
        </w:rPr>
        <w:t>econometric</w:t>
      </w:r>
      <w:r w:rsidR="007D6F2A" w:rsidRPr="00C44269">
        <w:rPr>
          <w:rFonts w:ascii="Calibri" w:hAnsi="Calibri" w:cs="Calibri"/>
          <w:szCs w:val="24"/>
        </w:rPr>
        <w:t xml:space="preserve"> and</w:t>
      </w:r>
      <w:r w:rsidR="0069260C" w:rsidRPr="00C44269">
        <w:rPr>
          <w:rFonts w:ascii="Calibri" w:hAnsi="Calibri" w:cs="Calibri"/>
          <w:szCs w:val="24"/>
        </w:rPr>
        <w:t xml:space="preserve"> supply-and-demand profile of </w:t>
      </w:r>
      <w:r w:rsidR="00DB58D6" w:rsidRPr="00C44269">
        <w:rPr>
          <w:rFonts w:ascii="Calibri" w:hAnsi="Calibri" w:cs="Calibri"/>
          <w:szCs w:val="24"/>
        </w:rPr>
        <w:t xml:space="preserve">a bank’s </w:t>
      </w:r>
      <w:r w:rsidR="00280E01" w:rsidRPr="00C44269">
        <w:rPr>
          <w:rFonts w:ascii="Calibri" w:hAnsi="Calibri" w:cs="Calibri"/>
          <w:szCs w:val="24"/>
        </w:rPr>
        <w:t>CRE lending footprints.</w:t>
      </w:r>
    </w:p>
    <w:p w14:paraId="5F056D24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57710DF9" w14:textId="1F2A926B" w:rsidR="004F46FB" w:rsidRDefault="006B6D1B" w:rsidP="00C44269">
      <w:pPr>
        <w:pStyle w:val="NoSpacing"/>
        <w:numPr>
          <w:ilvl w:val="0"/>
          <w:numId w:val="2"/>
        </w:numPr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b/>
          <w:bCs/>
          <w:szCs w:val="24"/>
        </w:rPr>
        <w:t xml:space="preserve">Supplement </w:t>
      </w:r>
      <w:r w:rsidR="00DB58D6" w:rsidRPr="00C44269">
        <w:rPr>
          <w:rFonts w:ascii="Calibri" w:hAnsi="Calibri" w:cs="Calibri"/>
          <w:b/>
          <w:bCs/>
          <w:szCs w:val="24"/>
        </w:rPr>
        <w:t xml:space="preserve">the bank’s </w:t>
      </w:r>
      <w:r w:rsidR="00A67E79" w:rsidRPr="00C44269">
        <w:rPr>
          <w:rFonts w:ascii="Calibri" w:hAnsi="Calibri" w:cs="Calibri"/>
          <w:b/>
          <w:bCs/>
          <w:szCs w:val="24"/>
        </w:rPr>
        <w:t xml:space="preserve">CRE lending </w:t>
      </w:r>
      <w:r w:rsidR="00E82CBB" w:rsidRPr="00C44269">
        <w:rPr>
          <w:rFonts w:ascii="Calibri" w:hAnsi="Calibri" w:cs="Calibri"/>
          <w:b/>
          <w:bCs/>
          <w:szCs w:val="24"/>
        </w:rPr>
        <w:t xml:space="preserve">defense </w:t>
      </w:r>
      <w:r w:rsidR="00A67E79" w:rsidRPr="00C44269">
        <w:rPr>
          <w:rFonts w:ascii="Calibri" w:hAnsi="Calibri" w:cs="Calibri"/>
          <w:b/>
          <w:bCs/>
          <w:szCs w:val="24"/>
        </w:rPr>
        <w:t xml:space="preserve">strategy </w:t>
      </w:r>
      <w:r w:rsidR="00E82CBB" w:rsidRPr="00C44269">
        <w:rPr>
          <w:rFonts w:ascii="Calibri" w:hAnsi="Calibri" w:cs="Calibri"/>
          <w:b/>
          <w:bCs/>
          <w:szCs w:val="24"/>
        </w:rPr>
        <w:t xml:space="preserve">with </w:t>
      </w:r>
      <w:r w:rsidR="007B634D" w:rsidRPr="00C44269">
        <w:rPr>
          <w:rFonts w:ascii="Calibri" w:hAnsi="Calibri" w:cs="Calibri"/>
          <w:b/>
          <w:bCs/>
          <w:szCs w:val="24"/>
        </w:rPr>
        <w:t xml:space="preserve">objective third-party </w:t>
      </w:r>
      <w:r w:rsidR="00966B56" w:rsidRPr="00C44269">
        <w:rPr>
          <w:rFonts w:ascii="Calibri" w:hAnsi="Calibri" w:cs="Calibri"/>
          <w:b/>
          <w:bCs/>
          <w:szCs w:val="24"/>
        </w:rPr>
        <w:t>data</w:t>
      </w:r>
      <w:r w:rsidR="00AB6DB3" w:rsidRPr="00C44269">
        <w:rPr>
          <w:rFonts w:ascii="Calibri" w:hAnsi="Calibri" w:cs="Calibri"/>
          <w:b/>
          <w:bCs/>
          <w:szCs w:val="24"/>
        </w:rPr>
        <w:t>.</w:t>
      </w:r>
      <w:r w:rsidR="00E82CBB" w:rsidRPr="00C44269">
        <w:rPr>
          <w:rFonts w:ascii="Calibri" w:hAnsi="Calibri" w:cs="Calibri"/>
          <w:szCs w:val="24"/>
        </w:rPr>
        <w:t xml:space="preserve"> Use reputable sources</w:t>
      </w:r>
      <w:r w:rsidR="004A5126">
        <w:rPr>
          <w:rFonts w:ascii="Calibri" w:hAnsi="Calibri" w:cs="Calibri"/>
          <w:szCs w:val="24"/>
        </w:rPr>
        <w:t>,</w:t>
      </w:r>
      <w:r w:rsidR="00E82CBB" w:rsidRPr="00C44269">
        <w:rPr>
          <w:rFonts w:ascii="Calibri" w:hAnsi="Calibri" w:cs="Calibri"/>
          <w:szCs w:val="24"/>
        </w:rPr>
        <w:t xml:space="preserve"> such as</w:t>
      </w:r>
      <w:r w:rsidR="00327EB6" w:rsidRPr="00C44269">
        <w:rPr>
          <w:rFonts w:ascii="Calibri" w:hAnsi="Calibri" w:cs="Calibri"/>
          <w:szCs w:val="24"/>
        </w:rPr>
        <w:t xml:space="preserve"> the Atlant</w:t>
      </w:r>
      <w:r w:rsidR="00BD44E0" w:rsidRPr="00C44269">
        <w:rPr>
          <w:rFonts w:ascii="Calibri" w:hAnsi="Calibri" w:cs="Calibri"/>
          <w:szCs w:val="24"/>
        </w:rPr>
        <w:t>a</w:t>
      </w:r>
      <w:r w:rsidR="00327EB6" w:rsidRPr="00C44269">
        <w:rPr>
          <w:rFonts w:ascii="Calibri" w:hAnsi="Calibri" w:cs="Calibri"/>
          <w:szCs w:val="24"/>
        </w:rPr>
        <w:t xml:space="preserve"> Federal Reserve</w:t>
      </w:r>
      <w:r w:rsidR="00BD44E0" w:rsidRPr="00C44269">
        <w:rPr>
          <w:rFonts w:ascii="Calibri" w:hAnsi="Calibri" w:cs="Calibri"/>
          <w:szCs w:val="24"/>
        </w:rPr>
        <w:t xml:space="preserve">’s </w:t>
      </w:r>
      <w:hyperlink r:id="rId10" w:history="1">
        <w:r w:rsidR="00BD44E0" w:rsidRPr="004A5126">
          <w:rPr>
            <w:rStyle w:val="Hyperlink"/>
            <w:rFonts w:ascii="Calibri" w:hAnsi="Calibri" w:cs="Calibri"/>
            <w:szCs w:val="24"/>
          </w:rPr>
          <w:t>CRE Market Index</w:t>
        </w:r>
      </w:hyperlink>
      <w:r w:rsidR="00EC05DC" w:rsidRPr="00C44269">
        <w:rPr>
          <w:rFonts w:ascii="Calibri" w:hAnsi="Calibri" w:cs="Calibri"/>
          <w:szCs w:val="24"/>
        </w:rPr>
        <w:t xml:space="preserve"> and subscription-based </w:t>
      </w:r>
      <w:r w:rsidR="00E82CBB" w:rsidRPr="00C44269">
        <w:rPr>
          <w:rFonts w:ascii="Calibri" w:hAnsi="Calibri" w:cs="Calibri"/>
          <w:szCs w:val="24"/>
        </w:rPr>
        <w:t xml:space="preserve">services </w:t>
      </w:r>
      <w:r w:rsidR="00EC05DC" w:rsidRPr="00C44269">
        <w:rPr>
          <w:rFonts w:ascii="Calibri" w:hAnsi="Calibri" w:cs="Calibri"/>
          <w:szCs w:val="24"/>
        </w:rPr>
        <w:t>like Vertical IQ</w:t>
      </w:r>
      <w:r w:rsidR="00D13F54" w:rsidRPr="00C44269">
        <w:rPr>
          <w:rFonts w:ascii="Calibri" w:hAnsi="Calibri" w:cs="Calibri"/>
          <w:szCs w:val="24"/>
        </w:rPr>
        <w:t xml:space="preserve"> for </w:t>
      </w:r>
      <w:r w:rsidR="00E82CBB" w:rsidRPr="00C44269">
        <w:rPr>
          <w:rFonts w:ascii="Calibri" w:hAnsi="Calibri" w:cs="Calibri"/>
          <w:szCs w:val="24"/>
        </w:rPr>
        <w:t xml:space="preserve">diverse </w:t>
      </w:r>
      <w:r w:rsidR="00D13F54" w:rsidRPr="00C44269">
        <w:rPr>
          <w:rFonts w:ascii="Calibri" w:hAnsi="Calibri" w:cs="Calibri"/>
          <w:szCs w:val="24"/>
        </w:rPr>
        <w:t xml:space="preserve">industry </w:t>
      </w:r>
      <w:r w:rsidR="0016440C" w:rsidRPr="00C44269">
        <w:rPr>
          <w:rFonts w:ascii="Calibri" w:hAnsi="Calibri" w:cs="Calibri"/>
          <w:szCs w:val="24"/>
        </w:rPr>
        <w:t xml:space="preserve">and regional </w:t>
      </w:r>
      <w:r w:rsidR="00D13F54" w:rsidRPr="00C44269">
        <w:rPr>
          <w:rFonts w:ascii="Calibri" w:hAnsi="Calibri" w:cs="Calibri"/>
          <w:szCs w:val="24"/>
        </w:rPr>
        <w:t>metrics.</w:t>
      </w:r>
      <w:r w:rsidR="00C44269">
        <w:rPr>
          <w:rFonts w:ascii="Calibri" w:hAnsi="Calibri" w:cs="Calibri"/>
          <w:szCs w:val="24"/>
        </w:rPr>
        <w:t xml:space="preserve"> </w:t>
      </w:r>
    </w:p>
    <w:p w14:paraId="1A800D57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5CFC5AAD" w14:textId="19EECA9F" w:rsidR="00584B12" w:rsidRDefault="00584B12" w:rsidP="00C44269">
      <w:pPr>
        <w:pStyle w:val="NoSpacing"/>
        <w:numPr>
          <w:ilvl w:val="0"/>
          <w:numId w:val="2"/>
        </w:numPr>
        <w:rPr>
          <w:rFonts w:ascii="Calibri" w:hAnsi="Calibri" w:cs="Calibri"/>
          <w:i/>
          <w:iCs/>
          <w:szCs w:val="24"/>
        </w:rPr>
      </w:pPr>
      <w:r w:rsidRPr="00C44269">
        <w:rPr>
          <w:rFonts w:ascii="Calibri" w:hAnsi="Calibri" w:cs="Calibri"/>
          <w:b/>
          <w:bCs/>
          <w:szCs w:val="24"/>
        </w:rPr>
        <w:t xml:space="preserve">Improve </w:t>
      </w:r>
      <w:r w:rsidR="00773A94" w:rsidRPr="00C44269">
        <w:rPr>
          <w:rFonts w:ascii="Calibri" w:hAnsi="Calibri" w:cs="Calibri"/>
          <w:b/>
          <w:bCs/>
          <w:szCs w:val="24"/>
        </w:rPr>
        <w:t>macro portfolio data analytics</w:t>
      </w:r>
      <w:r w:rsidR="00AB6DB3" w:rsidRPr="00C44269">
        <w:rPr>
          <w:rFonts w:ascii="Calibri" w:hAnsi="Calibri" w:cs="Calibri"/>
          <w:b/>
          <w:bCs/>
          <w:szCs w:val="24"/>
        </w:rPr>
        <w:t>.</w:t>
      </w:r>
      <w:r w:rsidR="00E82CBB" w:rsidRPr="00C44269">
        <w:rPr>
          <w:rFonts w:ascii="Calibri" w:hAnsi="Calibri" w:cs="Calibri"/>
          <w:szCs w:val="24"/>
        </w:rPr>
        <w:t xml:space="preserve"> S</w:t>
      </w:r>
      <w:r w:rsidR="000700CA" w:rsidRPr="00C44269">
        <w:rPr>
          <w:rFonts w:ascii="Calibri" w:hAnsi="Calibri" w:cs="Calibri"/>
          <w:szCs w:val="24"/>
        </w:rPr>
        <w:t xml:space="preserve">maller banks </w:t>
      </w:r>
      <w:r w:rsidR="00E82CBB" w:rsidRPr="00C44269">
        <w:rPr>
          <w:rFonts w:ascii="Calibri" w:hAnsi="Calibri" w:cs="Calibri"/>
          <w:szCs w:val="24"/>
        </w:rPr>
        <w:t xml:space="preserve">often lack the ability to analyze, or </w:t>
      </w:r>
      <w:r w:rsidR="00880425" w:rsidRPr="00C44269">
        <w:rPr>
          <w:rFonts w:ascii="Calibri" w:hAnsi="Calibri" w:cs="Calibri"/>
          <w:szCs w:val="24"/>
        </w:rPr>
        <w:t>slice-and-dice</w:t>
      </w:r>
      <w:r w:rsidR="00E82CBB" w:rsidRPr="00C44269">
        <w:rPr>
          <w:rFonts w:ascii="Calibri" w:hAnsi="Calibri" w:cs="Calibri"/>
          <w:szCs w:val="24"/>
        </w:rPr>
        <w:t>,</w:t>
      </w:r>
      <w:r w:rsidR="00880425" w:rsidRPr="00C44269">
        <w:rPr>
          <w:rFonts w:ascii="Calibri" w:hAnsi="Calibri" w:cs="Calibri"/>
          <w:szCs w:val="24"/>
        </w:rPr>
        <w:t xml:space="preserve"> their loan portfolio</w:t>
      </w:r>
      <w:r w:rsidR="007C0D33" w:rsidRPr="00C44269">
        <w:rPr>
          <w:rFonts w:ascii="Calibri" w:hAnsi="Calibri" w:cs="Calibri"/>
          <w:szCs w:val="24"/>
        </w:rPr>
        <w:t>s</w:t>
      </w:r>
      <w:r w:rsidR="00E82CBB" w:rsidRPr="00C44269">
        <w:rPr>
          <w:rFonts w:ascii="Calibri" w:hAnsi="Calibri" w:cs="Calibri"/>
          <w:szCs w:val="24"/>
        </w:rPr>
        <w:t xml:space="preserve"> </w:t>
      </w:r>
      <w:r w:rsidR="00696DD0" w:rsidRPr="00C44269">
        <w:rPr>
          <w:rFonts w:ascii="Calibri" w:hAnsi="Calibri" w:cs="Calibri"/>
          <w:szCs w:val="24"/>
        </w:rPr>
        <w:t xml:space="preserve">with the diagnostic precision </w:t>
      </w:r>
      <w:r w:rsidR="00E82CBB" w:rsidRPr="00C44269">
        <w:rPr>
          <w:rFonts w:ascii="Calibri" w:hAnsi="Calibri" w:cs="Calibri"/>
          <w:szCs w:val="24"/>
        </w:rPr>
        <w:t>of</w:t>
      </w:r>
      <w:r w:rsidR="00696DD0" w:rsidRPr="00C44269">
        <w:rPr>
          <w:rFonts w:ascii="Calibri" w:hAnsi="Calibri" w:cs="Calibri"/>
          <w:szCs w:val="24"/>
        </w:rPr>
        <w:t xml:space="preserve"> larger</w:t>
      </w:r>
      <w:r w:rsidR="00146634" w:rsidRPr="00C44269">
        <w:rPr>
          <w:rFonts w:ascii="Calibri" w:hAnsi="Calibri" w:cs="Calibri"/>
          <w:szCs w:val="24"/>
        </w:rPr>
        <w:t xml:space="preserve"> institutions.</w:t>
      </w:r>
      <w:r w:rsidR="00696DD0" w:rsidRPr="00C44269">
        <w:rPr>
          <w:rFonts w:ascii="Calibri" w:hAnsi="Calibri" w:cs="Calibri"/>
          <w:szCs w:val="24"/>
        </w:rPr>
        <w:t xml:space="preserve"> </w:t>
      </w:r>
      <w:r w:rsidR="00DB58D6" w:rsidRPr="00C44269">
        <w:rPr>
          <w:rFonts w:ascii="Calibri" w:hAnsi="Calibri" w:cs="Calibri"/>
          <w:szCs w:val="24"/>
        </w:rPr>
        <w:t xml:space="preserve">A bank’s loan portfolio is its DNA; </w:t>
      </w:r>
      <w:r w:rsidR="004A5126">
        <w:rPr>
          <w:rFonts w:ascii="Calibri" w:hAnsi="Calibri" w:cs="Calibri"/>
          <w:szCs w:val="24"/>
        </w:rPr>
        <w:t>banks need to e</w:t>
      </w:r>
      <w:r w:rsidR="00DB58D6" w:rsidRPr="00C44269">
        <w:rPr>
          <w:rFonts w:ascii="Calibri" w:hAnsi="Calibri" w:cs="Calibri"/>
          <w:szCs w:val="24"/>
        </w:rPr>
        <w:t xml:space="preserve">mbrace data analytics capabilities to better understand </w:t>
      </w:r>
      <w:r w:rsidR="004A5126">
        <w:rPr>
          <w:rFonts w:ascii="Calibri" w:hAnsi="Calibri" w:cs="Calibri"/>
          <w:szCs w:val="24"/>
        </w:rPr>
        <w:t xml:space="preserve">their </w:t>
      </w:r>
      <w:r w:rsidR="00DB58D6" w:rsidRPr="00C44269">
        <w:rPr>
          <w:rFonts w:ascii="Calibri" w:hAnsi="Calibri" w:cs="Calibri"/>
          <w:szCs w:val="24"/>
        </w:rPr>
        <w:t>unique characteristics.</w:t>
      </w:r>
      <w:r w:rsidR="00C44269">
        <w:rPr>
          <w:rFonts w:ascii="Calibri" w:hAnsi="Calibri" w:cs="Calibri"/>
          <w:szCs w:val="24"/>
        </w:rPr>
        <w:t xml:space="preserve"> </w:t>
      </w:r>
      <w:r w:rsidR="00773A94" w:rsidRPr="00C44269">
        <w:rPr>
          <w:rFonts w:ascii="Calibri" w:hAnsi="Calibri" w:cs="Calibri"/>
          <w:i/>
          <w:iCs/>
          <w:szCs w:val="24"/>
        </w:rPr>
        <w:t xml:space="preserve"> </w:t>
      </w:r>
    </w:p>
    <w:p w14:paraId="53C570D4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75959297" w14:textId="1D503843" w:rsidR="0080664C" w:rsidRDefault="0080664C" w:rsidP="00C44269">
      <w:pPr>
        <w:pStyle w:val="NoSpacing"/>
        <w:numPr>
          <w:ilvl w:val="0"/>
          <w:numId w:val="2"/>
        </w:numPr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b/>
          <w:bCs/>
          <w:szCs w:val="24"/>
        </w:rPr>
        <w:t xml:space="preserve">Embrace </w:t>
      </w:r>
      <w:r w:rsidR="00390169" w:rsidRPr="00C44269">
        <w:rPr>
          <w:rFonts w:ascii="Calibri" w:hAnsi="Calibri" w:cs="Calibri"/>
          <w:b/>
          <w:bCs/>
          <w:szCs w:val="24"/>
        </w:rPr>
        <w:t>multiple stress test modes</w:t>
      </w:r>
      <w:r w:rsidR="00AB6DB3" w:rsidRPr="00C44269">
        <w:rPr>
          <w:rFonts w:ascii="Calibri" w:hAnsi="Calibri" w:cs="Calibri"/>
          <w:b/>
          <w:bCs/>
          <w:szCs w:val="24"/>
        </w:rPr>
        <w:t>.</w:t>
      </w:r>
      <w:r w:rsidR="00DB58D6" w:rsidRPr="00C44269">
        <w:rPr>
          <w:rFonts w:ascii="Calibri" w:hAnsi="Calibri" w:cs="Calibri"/>
          <w:szCs w:val="24"/>
        </w:rPr>
        <w:t xml:space="preserve"> R</w:t>
      </w:r>
      <w:r w:rsidR="00E86F34" w:rsidRPr="00C44269">
        <w:rPr>
          <w:rFonts w:ascii="Calibri" w:hAnsi="Calibri" w:cs="Calibri"/>
          <w:szCs w:val="24"/>
        </w:rPr>
        <w:t>ecogniz</w:t>
      </w:r>
      <w:r w:rsidR="00DB58D6" w:rsidRPr="00C44269">
        <w:rPr>
          <w:rFonts w:ascii="Calibri" w:hAnsi="Calibri" w:cs="Calibri"/>
          <w:szCs w:val="24"/>
        </w:rPr>
        <w:t>e</w:t>
      </w:r>
      <w:r w:rsidR="00E86F34" w:rsidRPr="00C44269">
        <w:rPr>
          <w:rFonts w:ascii="Calibri" w:hAnsi="Calibri" w:cs="Calibri"/>
          <w:szCs w:val="24"/>
        </w:rPr>
        <w:t xml:space="preserve"> the benefits of </w:t>
      </w:r>
      <w:r w:rsidR="00DB58D6" w:rsidRPr="00C44269">
        <w:rPr>
          <w:rFonts w:ascii="Calibri" w:hAnsi="Calibri" w:cs="Calibri"/>
          <w:szCs w:val="24"/>
        </w:rPr>
        <w:t>both</w:t>
      </w:r>
      <w:r w:rsidR="006F213C" w:rsidRPr="00C44269">
        <w:rPr>
          <w:rFonts w:ascii="Calibri" w:hAnsi="Calibri" w:cs="Calibri"/>
          <w:szCs w:val="24"/>
        </w:rPr>
        <w:t xml:space="preserve"> </w:t>
      </w:r>
      <w:r w:rsidR="002F7294" w:rsidRPr="00C44269">
        <w:rPr>
          <w:rFonts w:ascii="Calibri" w:hAnsi="Calibri" w:cs="Calibri"/>
          <w:szCs w:val="24"/>
        </w:rPr>
        <w:t xml:space="preserve">top-down (portfolio level) and bottom-up (loan level) approaches. </w:t>
      </w:r>
      <w:r w:rsidR="006F213C" w:rsidRPr="00C44269">
        <w:rPr>
          <w:rFonts w:ascii="Calibri" w:hAnsi="Calibri" w:cs="Calibri"/>
          <w:szCs w:val="24"/>
        </w:rPr>
        <w:t>C</w:t>
      </w:r>
      <w:r w:rsidR="002F7294" w:rsidRPr="00C44269">
        <w:rPr>
          <w:rFonts w:ascii="Calibri" w:hAnsi="Calibri" w:cs="Calibri"/>
          <w:szCs w:val="24"/>
        </w:rPr>
        <w:t xml:space="preserve">onsider companion stress tests </w:t>
      </w:r>
      <w:r w:rsidR="006F213C" w:rsidRPr="00C44269">
        <w:rPr>
          <w:rFonts w:ascii="Calibri" w:hAnsi="Calibri" w:cs="Calibri"/>
          <w:szCs w:val="24"/>
        </w:rPr>
        <w:t xml:space="preserve">alongside </w:t>
      </w:r>
      <w:r w:rsidR="004147C1" w:rsidRPr="00C44269">
        <w:rPr>
          <w:rFonts w:ascii="Calibri" w:hAnsi="Calibri" w:cs="Calibri"/>
          <w:szCs w:val="24"/>
        </w:rPr>
        <w:t xml:space="preserve">loan review engagements </w:t>
      </w:r>
      <w:r w:rsidR="006F213C" w:rsidRPr="00C44269">
        <w:rPr>
          <w:rFonts w:ascii="Calibri" w:hAnsi="Calibri" w:cs="Calibri"/>
          <w:szCs w:val="24"/>
        </w:rPr>
        <w:t xml:space="preserve">to extrapolate </w:t>
      </w:r>
      <w:r w:rsidR="00766748" w:rsidRPr="00C44269">
        <w:rPr>
          <w:rFonts w:ascii="Calibri" w:hAnsi="Calibri" w:cs="Calibri"/>
          <w:szCs w:val="24"/>
        </w:rPr>
        <w:t xml:space="preserve">CRE subset </w:t>
      </w:r>
      <w:r w:rsidR="004147C1" w:rsidRPr="00C44269">
        <w:rPr>
          <w:rFonts w:ascii="Calibri" w:hAnsi="Calibri" w:cs="Calibri"/>
          <w:szCs w:val="24"/>
        </w:rPr>
        <w:t>impacts on</w:t>
      </w:r>
      <w:r w:rsidR="00EA5818" w:rsidRPr="00C44269">
        <w:rPr>
          <w:rFonts w:ascii="Calibri" w:hAnsi="Calibri" w:cs="Calibri"/>
          <w:szCs w:val="24"/>
        </w:rPr>
        <w:t xml:space="preserve"> allocated </w:t>
      </w:r>
      <w:r w:rsidR="004147C1" w:rsidRPr="00C44269">
        <w:rPr>
          <w:rFonts w:ascii="Calibri" w:hAnsi="Calibri" w:cs="Calibri"/>
          <w:szCs w:val="24"/>
        </w:rPr>
        <w:t>risk-based capital</w:t>
      </w:r>
      <w:r w:rsidR="006F213C" w:rsidRPr="00C44269">
        <w:rPr>
          <w:rFonts w:ascii="Calibri" w:hAnsi="Calibri" w:cs="Calibri"/>
          <w:szCs w:val="24"/>
        </w:rPr>
        <w:t xml:space="preserve"> in real</w:t>
      </w:r>
      <w:r w:rsidR="00AB6DB3" w:rsidRPr="00C44269">
        <w:rPr>
          <w:rFonts w:ascii="Calibri" w:hAnsi="Calibri" w:cs="Calibri"/>
          <w:szCs w:val="24"/>
        </w:rPr>
        <w:t xml:space="preserve"> </w:t>
      </w:r>
      <w:r w:rsidR="006F213C" w:rsidRPr="00C44269">
        <w:rPr>
          <w:rFonts w:ascii="Calibri" w:hAnsi="Calibri" w:cs="Calibri"/>
          <w:szCs w:val="24"/>
        </w:rPr>
        <w:t>time</w:t>
      </w:r>
      <w:r w:rsidR="00EA5818" w:rsidRPr="00C44269">
        <w:rPr>
          <w:rFonts w:ascii="Calibri" w:hAnsi="Calibri" w:cs="Calibri"/>
          <w:szCs w:val="24"/>
        </w:rPr>
        <w:t>.</w:t>
      </w:r>
    </w:p>
    <w:p w14:paraId="53536434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29A8B3AC" w14:textId="7E7423E3" w:rsidR="009C0ADF" w:rsidRDefault="00A35147" w:rsidP="00C44269">
      <w:pPr>
        <w:pStyle w:val="NoSpacing"/>
        <w:numPr>
          <w:ilvl w:val="0"/>
          <w:numId w:val="2"/>
        </w:numPr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b/>
          <w:bCs/>
          <w:szCs w:val="24"/>
        </w:rPr>
        <w:t>Expand loan review</w:t>
      </w:r>
      <w:r w:rsidR="00AB6DB3" w:rsidRPr="00C44269">
        <w:rPr>
          <w:rFonts w:ascii="Calibri" w:hAnsi="Calibri" w:cs="Calibri"/>
          <w:b/>
          <w:bCs/>
          <w:szCs w:val="24"/>
        </w:rPr>
        <w:t>.</w:t>
      </w:r>
      <w:r w:rsidR="006F213C" w:rsidRPr="00C44269">
        <w:rPr>
          <w:rFonts w:ascii="Calibri" w:hAnsi="Calibri" w:cs="Calibri"/>
          <w:szCs w:val="24"/>
        </w:rPr>
        <w:t xml:space="preserve"> </w:t>
      </w:r>
      <w:r w:rsidR="00992B3A">
        <w:rPr>
          <w:rFonts w:ascii="Calibri" w:hAnsi="Calibri" w:cs="Calibri"/>
          <w:szCs w:val="24"/>
        </w:rPr>
        <w:t>Remember that l</w:t>
      </w:r>
      <w:r w:rsidR="00FD14BE" w:rsidRPr="00C44269">
        <w:rPr>
          <w:rFonts w:ascii="Calibri" w:hAnsi="Calibri" w:cs="Calibri"/>
          <w:szCs w:val="24"/>
        </w:rPr>
        <w:t xml:space="preserve">oan review is a critical line of defense in </w:t>
      </w:r>
      <w:r w:rsidR="00AA6034" w:rsidRPr="00C44269">
        <w:rPr>
          <w:rFonts w:ascii="Calibri" w:hAnsi="Calibri" w:cs="Calibri"/>
          <w:szCs w:val="24"/>
        </w:rPr>
        <w:t xml:space="preserve">reducing uncertainty and </w:t>
      </w:r>
      <w:r w:rsidR="00FD14BE" w:rsidRPr="00C44269">
        <w:rPr>
          <w:rFonts w:ascii="Calibri" w:hAnsi="Calibri" w:cs="Calibri"/>
          <w:szCs w:val="24"/>
        </w:rPr>
        <w:t>identifying</w:t>
      </w:r>
      <w:r w:rsidR="00AA6034" w:rsidRPr="00C44269">
        <w:rPr>
          <w:rFonts w:ascii="Calibri" w:hAnsi="Calibri" w:cs="Calibri"/>
          <w:szCs w:val="24"/>
        </w:rPr>
        <w:t xml:space="preserve"> </w:t>
      </w:r>
      <w:r w:rsidR="003C4B60" w:rsidRPr="00C44269">
        <w:rPr>
          <w:rFonts w:ascii="Calibri" w:hAnsi="Calibri" w:cs="Calibri"/>
          <w:szCs w:val="24"/>
        </w:rPr>
        <w:t>emerging hotspots of credit problems</w:t>
      </w:r>
      <w:r w:rsidR="003F2800" w:rsidRPr="00C44269">
        <w:rPr>
          <w:rFonts w:ascii="Calibri" w:hAnsi="Calibri" w:cs="Calibri"/>
          <w:szCs w:val="24"/>
        </w:rPr>
        <w:t>.</w:t>
      </w:r>
    </w:p>
    <w:p w14:paraId="378B4B31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1E8672BB" w14:textId="30A951BF" w:rsidR="00A35147" w:rsidRDefault="009C0ADF" w:rsidP="00C44269">
      <w:pPr>
        <w:pStyle w:val="NoSpacing"/>
        <w:numPr>
          <w:ilvl w:val="0"/>
          <w:numId w:val="2"/>
        </w:numPr>
        <w:rPr>
          <w:rFonts w:ascii="Calibri" w:hAnsi="Calibri" w:cs="Calibri"/>
          <w:i/>
          <w:iCs/>
          <w:szCs w:val="24"/>
        </w:rPr>
      </w:pPr>
      <w:r w:rsidRPr="00C44269">
        <w:rPr>
          <w:rFonts w:ascii="Calibri" w:hAnsi="Calibri" w:cs="Calibri"/>
          <w:b/>
          <w:bCs/>
          <w:szCs w:val="24"/>
        </w:rPr>
        <w:t xml:space="preserve">Update loan policies </w:t>
      </w:r>
      <w:r w:rsidR="005F1ACF" w:rsidRPr="00C44269">
        <w:rPr>
          <w:rFonts w:ascii="Calibri" w:hAnsi="Calibri" w:cs="Calibri"/>
          <w:b/>
          <w:bCs/>
          <w:szCs w:val="24"/>
        </w:rPr>
        <w:t xml:space="preserve">and servicing protocols </w:t>
      </w:r>
      <w:r w:rsidRPr="00C44269">
        <w:rPr>
          <w:rFonts w:ascii="Calibri" w:hAnsi="Calibri" w:cs="Calibri"/>
          <w:b/>
          <w:bCs/>
          <w:szCs w:val="24"/>
        </w:rPr>
        <w:t>to reflect the current environment</w:t>
      </w:r>
      <w:r w:rsidR="00AB6DB3" w:rsidRPr="00C44269">
        <w:rPr>
          <w:rFonts w:ascii="Calibri" w:hAnsi="Calibri" w:cs="Calibri"/>
          <w:b/>
          <w:bCs/>
          <w:szCs w:val="24"/>
        </w:rPr>
        <w:t>.</w:t>
      </w:r>
      <w:r w:rsidRPr="00C44269">
        <w:rPr>
          <w:rFonts w:ascii="Calibri" w:hAnsi="Calibri" w:cs="Calibri"/>
          <w:szCs w:val="24"/>
        </w:rPr>
        <w:t xml:space="preserve"> </w:t>
      </w:r>
      <w:r w:rsidR="000C2B1F" w:rsidRPr="00C44269">
        <w:rPr>
          <w:rFonts w:ascii="Calibri" w:hAnsi="Calibri" w:cs="Calibri"/>
          <w:szCs w:val="24"/>
        </w:rPr>
        <w:t xml:space="preserve">For </w:t>
      </w:r>
      <w:r w:rsidR="006F213C" w:rsidRPr="00C44269">
        <w:rPr>
          <w:rFonts w:ascii="Calibri" w:hAnsi="Calibri" w:cs="Calibri"/>
          <w:szCs w:val="24"/>
        </w:rPr>
        <w:t>instance</w:t>
      </w:r>
      <w:r w:rsidR="000C2B1F" w:rsidRPr="00C44269">
        <w:rPr>
          <w:rFonts w:ascii="Calibri" w:hAnsi="Calibri" w:cs="Calibri"/>
          <w:szCs w:val="24"/>
        </w:rPr>
        <w:t xml:space="preserve">, </w:t>
      </w:r>
      <w:r w:rsidR="006F213C" w:rsidRPr="00C44269">
        <w:rPr>
          <w:rFonts w:ascii="Calibri" w:hAnsi="Calibri" w:cs="Calibri"/>
          <w:szCs w:val="24"/>
        </w:rPr>
        <w:t>outdated policies such as allowing three years of interest-only payments for new CRE projects</w:t>
      </w:r>
      <w:r w:rsidR="00B96EEF">
        <w:rPr>
          <w:rFonts w:ascii="Calibri" w:hAnsi="Calibri" w:cs="Calibri"/>
          <w:szCs w:val="24"/>
        </w:rPr>
        <w:t xml:space="preserve">, </w:t>
      </w:r>
      <w:r w:rsidR="00646D0A">
        <w:rPr>
          <w:rFonts w:ascii="Calibri" w:hAnsi="Calibri" w:cs="Calibri"/>
          <w:szCs w:val="24"/>
        </w:rPr>
        <w:t xml:space="preserve">a </w:t>
      </w:r>
      <w:r w:rsidR="00B96EEF">
        <w:rPr>
          <w:rFonts w:ascii="Calibri" w:hAnsi="Calibri" w:cs="Calibri"/>
          <w:szCs w:val="24"/>
        </w:rPr>
        <w:t xml:space="preserve">policy established five years ago, </w:t>
      </w:r>
      <w:r w:rsidR="0028374D" w:rsidRPr="00C44269">
        <w:rPr>
          <w:rFonts w:ascii="Calibri" w:hAnsi="Calibri" w:cs="Calibri"/>
          <w:szCs w:val="24"/>
        </w:rPr>
        <w:t>may</w:t>
      </w:r>
      <w:r w:rsidR="004C5B80" w:rsidRPr="00C44269">
        <w:rPr>
          <w:rFonts w:ascii="Calibri" w:hAnsi="Calibri" w:cs="Calibri"/>
          <w:szCs w:val="24"/>
        </w:rPr>
        <w:t xml:space="preserve"> </w:t>
      </w:r>
      <w:r w:rsidR="0028374D" w:rsidRPr="00C44269">
        <w:rPr>
          <w:rFonts w:ascii="Calibri" w:hAnsi="Calibri" w:cs="Calibri"/>
          <w:szCs w:val="24"/>
        </w:rPr>
        <w:t>be</w:t>
      </w:r>
      <w:r w:rsidR="00BD6694" w:rsidRPr="00C44269">
        <w:rPr>
          <w:rFonts w:ascii="Calibri" w:hAnsi="Calibri" w:cs="Calibri"/>
          <w:szCs w:val="24"/>
        </w:rPr>
        <w:t xml:space="preserve"> untenable </w:t>
      </w:r>
      <w:r w:rsidR="00317591" w:rsidRPr="00C44269">
        <w:rPr>
          <w:rFonts w:ascii="Calibri" w:hAnsi="Calibri" w:cs="Calibri"/>
          <w:szCs w:val="24"/>
        </w:rPr>
        <w:t>in 2024.</w:t>
      </w:r>
      <w:r w:rsidR="00C44269">
        <w:rPr>
          <w:rFonts w:ascii="Calibri" w:hAnsi="Calibri" w:cs="Calibri"/>
          <w:szCs w:val="24"/>
        </w:rPr>
        <w:t xml:space="preserve"> </w:t>
      </w:r>
    </w:p>
    <w:p w14:paraId="57086610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5C4C5062" w14:textId="01B5F743" w:rsidR="008C4DEA" w:rsidRDefault="004D0ABC" w:rsidP="00C44269">
      <w:pPr>
        <w:pStyle w:val="NoSpacing"/>
        <w:numPr>
          <w:ilvl w:val="0"/>
          <w:numId w:val="2"/>
        </w:numPr>
        <w:rPr>
          <w:rFonts w:ascii="Calibri" w:hAnsi="Calibri" w:cs="Calibri"/>
          <w:szCs w:val="24"/>
        </w:rPr>
      </w:pPr>
      <w:r w:rsidRPr="00C44269">
        <w:rPr>
          <w:rFonts w:ascii="Calibri" w:hAnsi="Calibri" w:cs="Calibri"/>
          <w:b/>
          <w:bCs/>
          <w:szCs w:val="24"/>
        </w:rPr>
        <w:t xml:space="preserve">Integrate enhanced CRE oversight with </w:t>
      </w:r>
      <w:r w:rsidR="00517CE1" w:rsidRPr="00C44269">
        <w:rPr>
          <w:rFonts w:ascii="Calibri" w:hAnsi="Calibri" w:cs="Calibri"/>
          <w:b/>
          <w:bCs/>
          <w:szCs w:val="24"/>
        </w:rPr>
        <w:t>strategic and capital plans</w:t>
      </w:r>
      <w:r w:rsidR="005C3822" w:rsidRPr="00C44269">
        <w:rPr>
          <w:rFonts w:ascii="Calibri" w:hAnsi="Calibri" w:cs="Calibri"/>
          <w:b/>
          <w:bCs/>
          <w:szCs w:val="24"/>
        </w:rPr>
        <w:t xml:space="preserve">, and risk appetite </w:t>
      </w:r>
      <w:r w:rsidR="0029416C" w:rsidRPr="00C44269">
        <w:rPr>
          <w:rFonts w:ascii="Calibri" w:hAnsi="Calibri" w:cs="Calibri"/>
          <w:b/>
          <w:bCs/>
          <w:szCs w:val="24"/>
        </w:rPr>
        <w:t>statements</w:t>
      </w:r>
      <w:r w:rsidR="00AB6DB3" w:rsidRPr="00C44269">
        <w:rPr>
          <w:rFonts w:ascii="Calibri" w:hAnsi="Calibri" w:cs="Calibri"/>
          <w:b/>
          <w:bCs/>
          <w:szCs w:val="24"/>
        </w:rPr>
        <w:t>.</w:t>
      </w:r>
      <w:r w:rsidR="0028374D" w:rsidRPr="00C44269">
        <w:rPr>
          <w:rFonts w:ascii="Calibri" w:hAnsi="Calibri" w:cs="Calibri"/>
          <w:szCs w:val="24"/>
        </w:rPr>
        <w:t xml:space="preserve"> M</w:t>
      </w:r>
      <w:r w:rsidR="00421F19" w:rsidRPr="00C44269">
        <w:rPr>
          <w:rFonts w:ascii="Calibri" w:hAnsi="Calibri" w:cs="Calibri"/>
          <w:szCs w:val="24"/>
        </w:rPr>
        <w:t>ost importantly</w:t>
      </w:r>
      <w:r w:rsidR="00B96EEF">
        <w:rPr>
          <w:rFonts w:ascii="Calibri" w:hAnsi="Calibri" w:cs="Calibri"/>
          <w:szCs w:val="24"/>
        </w:rPr>
        <w:t>,</w:t>
      </w:r>
      <w:r w:rsidR="00421F19" w:rsidRPr="00C44269">
        <w:rPr>
          <w:rFonts w:ascii="Calibri" w:hAnsi="Calibri" w:cs="Calibri"/>
          <w:szCs w:val="24"/>
        </w:rPr>
        <w:t xml:space="preserve"> enrich communications with</w:t>
      </w:r>
      <w:r w:rsidR="0028374D" w:rsidRPr="00C44269">
        <w:rPr>
          <w:rFonts w:ascii="Calibri" w:hAnsi="Calibri" w:cs="Calibri"/>
          <w:szCs w:val="24"/>
        </w:rPr>
        <w:t>,</w:t>
      </w:r>
      <w:r w:rsidR="00421F19" w:rsidRPr="00C44269">
        <w:rPr>
          <w:rFonts w:ascii="Calibri" w:hAnsi="Calibri" w:cs="Calibri"/>
          <w:szCs w:val="24"/>
        </w:rPr>
        <w:t xml:space="preserve"> and </w:t>
      </w:r>
      <w:r w:rsidR="00EA4EEC" w:rsidRPr="00C44269">
        <w:rPr>
          <w:rFonts w:ascii="Calibri" w:hAnsi="Calibri" w:cs="Calibri"/>
          <w:szCs w:val="24"/>
        </w:rPr>
        <w:t>participation by</w:t>
      </w:r>
      <w:r w:rsidR="0028374D" w:rsidRPr="00C44269">
        <w:rPr>
          <w:rFonts w:ascii="Calibri" w:hAnsi="Calibri" w:cs="Calibri"/>
          <w:szCs w:val="24"/>
        </w:rPr>
        <w:t>,</w:t>
      </w:r>
      <w:r w:rsidR="00EA4EEC" w:rsidRPr="00C44269">
        <w:rPr>
          <w:rFonts w:ascii="Calibri" w:hAnsi="Calibri" w:cs="Calibri"/>
          <w:szCs w:val="24"/>
        </w:rPr>
        <w:t xml:space="preserve"> bank boards. </w:t>
      </w:r>
      <w:r w:rsidR="00B96EEF">
        <w:rPr>
          <w:rFonts w:ascii="Calibri" w:hAnsi="Calibri" w:cs="Calibri"/>
          <w:szCs w:val="24"/>
        </w:rPr>
        <w:t>E</w:t>
      </w:r>
      <w:r w:rsidR="0028374D" w:rsidRPr="00C44269">
        <w:rPr>
          <w:rFonts w:ascii="Calibri" w:hAnsi="Calibri" w:cs="Calibri"/>
          <w:szCs w:val="24"/>
        </w:rPr>
        <w:t>fforts to improve</w:t>
      </w:r>
      <w:r w:rsidR="00B77DE0" w:rsidRPr="00C44269">
        <w:rPr>
          <w:rFonts w:ascii="Calibri" w:hAnsi="Calibri" w:cs="Calibri"/>
          <w:szCs w:val="24"/>
        </w:rPr>
        <w:t xml:space="preserve"> CRE risk management </w:t>
      </w:r>
      <w:r w:rsidR="004E6221" w:rsidRPr="00C44269">
        <w:rPr>
          <w:rFonts w:ascii="Calibri" w:hAnsi="Calibri" w:cs="Calibri"/>
          <w:szCs w:val="24"/>
        </w:rPr>
        <w:t xml:space="preserve">often </w:t>
      </w:r>
      <w:r w:rsidR="0028374D" w:rsidRPr="00C44269">
        <w:rPr>
          <w:rFonts w:ascii="Calibri" w:hAnsi="Calibri" w:cs="Calibri"/>
          <w:szCs w:val="24"/>
        </w:rPr>
        <w:t xml:space="preserve">go </w:t>
      </w:r>
      <w:r w:rsidR="00E44140" w:rsidRPr="00C44269">
        <w:rPr>
          <w:rFonts w:ascii="Calibri" w:hAnsi="Calibri" w:cs="Calibri"/>
          <w:szCs w:val="24"/>
        </w:rPr>
        <w:t>unrecognized if</w:t>
      </w:r>
      <w:r w:rsidR="00B96EEF">
        <w:rPr>
          <w:rFonts w:ascii="Calibri" w:hAnsi="Calibri" w:cs="Calibri"/>
          <w:szCs w:val="24"/>
        </w:rPr>
        <w:t xml:space="preserve"> they’re</w:t>
      </w:r>
      <w:r w:rsidR="00E44140" w:rsidRPr="00C44269">
        <w:rPr>
          <w:rFonts w:ascii="Calibri" w:hAnsi="Calibri" w:cs="Calibri"/>
          <w:szCs w:val="24"/>
        </w:rPr>
        <w:t xml:space="preserve"> not </w:t>
      </w:r>
      <w:r w:rsidR="0028374D" w:rsidRPr="00C44269">
        <w:rPr>
          <w:rFonts w:ascii="Calibri" w:hAnsi="Calibri" w:cs="Calibri"/>
          <w:szCs w:val="24"/>
        </w:rPr>
        <w:t xml:space="preserve">documented </w:t>
      </w:r>
      <w:r w:rsidR="00E44140" w:rsidRPr="00C44269">
        <w:rPr>
          <w:rFonts w:ascii="Calibri" w:hAnsi="Calibri" w:cs="Calibri"/>
          <w:szCs w:val="24"/>
        </w:rPr>
        <w:t>in board minutes.</w:t>
      </w:r>
      <w:r w:rsidR="00CD5D41" w:rsidRPr="00C44269">
        <w:rPr>
          <w:rFonts w:ascii="Calibri" w:hAnsi="Calibri" w:cs="Calibri"/>
          <w:szCs w:val="24"/>
        </w:rPr>
        <w:t xml:space="preserve"> </w:t>
      </w:r>
    </w:p>
    <w:p w14:paraId="55AAD471" w14:textId="77777777" w:rsidR="00C44269" w:rsidRPr="00C44269" w:rsidRDefault="00C44269" w:rsidP="00C44269">
      <w:pPr>
        <w:pStyle w:val="NoSpacing"/>
        <w:rPr>
          <w:rFonts w:ascii="Calibri" w:hAnsi="Calibri" w:cs="Calibri"/>
          <w:szCs w:val="24"/>
        </w:rPr>
      </w:pPr>
    </w:p>
    <w:p w14:paraId="576C04DA" w14:textId="4891BF6A" w:rsidR="004F46FB" w:rsidRDefault="00992B3A" w:rsidP="00C44269">
      <w:pPr>
        <w:pStyle w:val="NoSpacing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summary, u</w:t>
      </w:r>
      <w:r w:rsidR="007C4382" w:rsidRPr="00C44269">
        <w:rPr>
          <w:rFonts w:ascii="Calibri" w:hAnsi="Calibri" w:cs="Calibri"/>
          <w:szCs w:val="24"/>
        </w:rPr>
        <w:t>sing the more</w:t>
      </w:r>
      <w:r w:rsidR="00156FB4">
        <w:rPr>
          <w:rFonts w:ascii="Calibri" w:hAnsi="Calibri" w:cs="Calibri"/>
          <w:szCs w:val="24"/>
        </w:rPr>
        <w:t xml:space="preserve"> </w:t>
      </w:r>
      <w:r w:rsidR="007C4382" w:rsidRPr="00C44269">
        <w:rPr>
          <w:rFonts w:ascii="Calibri" w:hAnsi="Calibri" w:cs="Calibri"/>
          <w:szCs w:val="24"/>
        </w:rPr>
        <w:t>familiar</w:t>
      </w:r>
      <w:r w:rsidR="00B96EEF">
        <w:rPr>
          <w:rFonts w:ascii="Calibri" w:hAnsi="Calibri" w:cs="Calibri"/>
          <w:szCs w:val="24"/>
        </w:rPr>
        <w:t xml:space="preserve"> </w:t>
      </w:r>
      <w:r w:rsidR="007C4382" w:rsidRPr="00C44269">
        <w:rPr>
          <w:rFonts w:ascii="Calibri" w:hAnsi="Calibri" w:cs="Calibri"/>
          <w:szCs w:val="24"/>
        </w:rPr>
        <w:t xml:space="preserve">lending </w:t>
      </w:r>
      <w:r w:rsidR="00C7643E" w:rsidRPr="00C44269">
        <w:rPr>
          <w:rFonts w:ascii="Calibri" w:hAnsi="Calibri" w:cs="Calibri"/>
          <w:szCs w:val="24"/>
        </w:rPr>
        <w:t xml:space="preserve">landscape of CRE </w:t>
      </w:r>
      <w:r w:rsidR="0028374D" w:rsidRPr="00C44269">
        <w:rPr>
          <w:rFonts w:ascii="Calibri" w:hAnsi="Calibri" w:cs="Calibri"/>
          <w:szCs w:val="24"/>
        </w:rPr>
        <w:t>to bolster</w:t>
      </w:r>
      <w:r w:rsidR="00C7643E" w:rsidRPr="00C44269">
        <w:rPr>
          <w:rFonts w:ascii="Calibri" w:hAnsi="Calibri" w:cs="Calibri"/>
          <w:szCs w:val="24"/>
        </w:rPr>
        <w:t xml:space="preserve"> loan </w:t>
      </w:r>
      <w:r w:rsidR="004370DA" w:rsidRPr="00C44269">
        <w:rPr>
          <w:rFonts w:ascii="Calibri" w:hAnsi="Calibri" w:cs="Calibri"/>
          <w:szCs w:val="24"/>
        </w:rPr>
        <w:t>growth</w:t>
      </w:r>
      <w:r w:rsidR="00C7643E" w:rsidRPr="00C44269">
        <w:rPr>
          <w:rFonts w:ascii="Calibri" w:hAnsi="Calibri" w:cs="Calibri"/>
          <w:szCs w:val="24"/>
        </w:rPr>
        <w:t xml:space="preserve">, </w:t>
      </w:r>
      <w:r w:rsidR="004370DA" w:rsidRPr="00C44269">
        <w:rPr>
          <w:rFonts w:ascii="Calibri" w:hAnsi="Calibri" w:cs="Calibri"/>
          <w:szCs w:val="24"/>
        </w:rPr>
        <w:t xml:space="preserve">smaller banks have </w:t>
      </w:r>
      <w:r w:rsidR="0028374D" w:rsidRPr="00C44269">
        <w:rPr>
          <w:rFonts w:ascii="Calibri" w:hAnsi="Calibri" w:cs="Calibri"/>
          <w:szCs w:val="24"/>
        </w:rPr>
        <w:t>assumed</w:t>
      </w:r>
      <w:r w:rsidR="004370DA" w:rsidRPr="00C44269">
        <w:rPr>
          <w:rFonts w:ascii="Calibri" w:hAnsi="Calibri" w:cs="Calibri"/>
          <w:szCs w:val="24"/>
        </w:rPr>
        <w:t xml:space="preserve"> the added obligations of </w:t>
      </w:r>
      <w:r w:rsidR="007D2D5E" w:rsidRPr="00C44269">
        <w:rPr>
          <w:rFonts w:ascii="Calibri" w:hAnsi="Calibri" w:cs="Calibri"/>
          <w:szCs w:val="24"/>
        </w:rPr>
        <w:t>defending and analyzing their</w:t>
      </w:r>
      <w:r w:rsidR="00D64827" w:rsidRPr="00C44269">
        <w:rPr>
          <w:rFonts w:ascii="Calibri" w:hAnsi="Calibri" w:cs="Calibri"/>
          <w:szCs w:val="24"/>
        </w:rPr>
        <w:t xml:space="preserve"> </w:t>
      </w:r>
      <w:r w:rsidR="0028374D" w:rsidRPr="00C44269">
        <w:rPr>
          <w:rFonts w:ascii="Calibri" w:hAnsi="Calibri" w:cs="Calibri"/>
          <w:szCs w:val="24"/>
        </w:rPr>
        <w:t xml:space="preserve">reliance </w:t>
      </w:r>
      <w:r w:rsidR="00D64827" w:rsidRPr="00C44269">
        <w:rPr>
          <w:rFonts w:ascii="Calibri" w:hAnsi="Calibri" w:cs="Calibri"/>
          <w:szCs w:val="24"/>
        </w:rPr>
        <w:t xml:space="preserve">on a </w:t>
      </w:r>
      <w:r w:rsidR="00570298" w:rsidRPr="00C44269">
        <w:rPr>
          <w:rFonts w:ascii="Calibri" w:hAnsi="Calibri" w:cs="Calibri"/>
          <w:szCs w:val="24"/>
        </w:rPr>
        <w:t>segment</w:t>
      </w:r>
      <w:r w:rsidR="00B96EEF">
        <w:rPr>
          <w:rFonts w:ascii="Calibri" w:hAnsi="Calibri" w:cs="Calibri"/>
          <w:szCs w:val="24"/>
        </w:rPr>
        <w:t xml:space="preserve"> that is now</w:t>
      </w:r>
      <w:r w:rsidR="00570298" w:rsidRPr="00C44269">
        <w:rPr>
          <w:rFonts w:ascii="Calibri" w:hAnsi="Calibri" w:cs="Calibri"/>
          <w:szCs w:val="24"/>
        </w:rPr>
        <w:t xml:space="preserve"> </w:t>
      </w:r>
      <w:r w:rsidR="0028374D" w:rsidRPr="00C44269">
        <w:rPr>
          <w:rFonts w:ascii="Calibri" w:hAnsi="Calibri" w:cs="Calibri"/>
          <w:szCs w:val="24"/>
        </w:rPr>
        <w:t>widely perceived by</w:t>
      </w:r>
      <w:r w:rsidR="00570298" w:rsidRPr="00C44269">
        <w:rPr>
          <w:rFonts w:ascii="Calibri" w:hAnsi="Calibri" w:cs="Calibri"/>
          <w:szCs w:val="24"/>
        </w:rPr>
        <w:t xml:space="preserve"> stakeholders </w:t>
      </w:r>
      <w:r w:rsidR="0028374D" w:rsidRPr="00C44269">
        <w:rPr>
          <w:rFonts w:ascii="Calibri" w:hAnsi="Calibri" w:cs="Calibri"/>
          <w:szCs w:val="24"/>
        </w:rPr>
        <w:t>as</w:t>
      </w:r>
      <w:r w:rsidR="00570298" w:rsidRPr="00C44269">
        <w:rPr>
          <w:rFonts w:ascii="Calibri" w:hAnsi="Calibri" w:cs="Calibri"/>
          <w:szCs w:val="24"/>
        </w:rPr>
        <w:t xml:space="preserve"> </w:t>
      </w:r>
      <w:r w:rsidR="00AB6DB3" w:rsidRPr="00C44269">
        <w:rPr>
          <w:rFonts w:ascii="Calibri" w:hAnsi="Calibri" w:cs="Calibri"/>
          <w:szCs w:val="24"/>
        </w:rPr>
        <w:t xml:space="preserve">being </w:t>
      </w:r>
      <w:r w:rsidR="003067AA" w:rsidRPr="00C44269">
        <w:rPr>
          <w:rFonts w:ascii="Calibri" w:hAnsi="Calibri" w:cs="Calibri"/>
          <w:szCs w:val="24"/>
        </w:rPr>
        <w:t>fraught with growing risk.</w:t>
      </w:r>
      <w:r w:rsidR="00570298" w:rsidRPr="00C44269">
        <w:rPr>
          <w:rFonts w:ascii="Calibri" w:hAnsi="Calibri" w:cs="Calibri"/>
          <w:szCs w:val="24"/>
        </w:rPr>
        <w:t xml:space="preserve"> </w:t>
      </w:r>
      <w:r w:rsidR="00B96EEF">
        <w:rPr>
          <w:rFonts w:ascii="Calibri" w:hAnsi="Calibri" w:cs="Calibri"/>
          <w:szCs w:val="24"/>
        </w:rPr>
        <w:lastRenderedPageBreak/>
        <w:t>P</w:t>
      </w:r>
      <w:r w:rsidR="00333715" w:rsidRPr="00C44269">
        <w:rPr>
          <w:rFonts w:ascii="Calibri" w:hAnsi="Calibri" w:cs="Calibri"/>
          <w:szCs w:val="24"/>
        </w:rPr>
        <w:t xml:space="preserve">articularly </w:t>
      </w:r>
      <w:r w:rsidR="00A65A28" w:rsidRPr="00C44269">
        <w:rPr>
          <w:rFonts w:ascii="Calibri" w:hAnsi="Calibri" w:cs="Calibri"/>
          <w:szCs w:val="24"/>
        </w:rPr>
        <w:t>in this environment</w:t>
      </w:r>
      <w:r w:rsidR="00320387" w:rsidRPr="00C44269">
        <w:rPr>
          <w:rFonts w:ascii="Calibri" w:hAnsi="Calibri" w:cs="Calibri"/>
          <w:szCs w:val="24"/>
        </w:rPr>
        <w:t>,</w:t>
      </w:r>
      <w:r w:rsidR="00A65A28" w:rsidRPr="00C44269">
        <w:rPr>
          <w:rFonts w:ascii="Calibri" w:hAnsi="Calibri" w:cs="Calibri"/>
          <w:szCs w:val="24"/>
        </w:rPr>
        <w:t xml:space="preserve"> </w:t>
      </w:r>
      <w:r w:rsidR="00FA7D11" w:rsidRPr="00C44269">
        <w:rPr>
          <w:rFonts w:ascii="Calibri" w:hAnsi="Calibri" w:cs="Calibri"/>
          <w:szCs w:val="24"/>
        </w:rPr>
        <w:t xml:space="preserve">a bank needs to write </w:t>
      </w:r>
      <w:r w:rsidR="00333715" w:rsidRPr="00C44269">
        <w:rPr>
          <w:rFonts w:ascii="Calibri" w:hAnsi="Calibri" w:cs="Calibri"/>
          <w:szCs w:val="24"/>
        </w:rPr>
        <w:t xml:space="preserve">its </w:t>
      </w:r>
      <w:r w:rsidR="00FA7D11" w:rsidRPr="00C44269">
        <w:rPr>
          <w:rFonts w:ascii="Calibri" w:hAnsi="Calibri" w:cs="Calibri"/>
          <w:szCs w:val="24"/>
        </w:rPr>
        <w:t>own credit risk script</w:t>
      </w:r>
      <w:r w:rsidR="003E2879" w:rsidRPr="00C44269">
        <w:rPr>
          <w:rFonts w:ascii="Calibri" w:hAnsi="Calibri" w:cs="Calibri"/>
          <w:szCs w:val="24"/>
        </w:rPr>
        <w:t xml:space="preserve"> </w:t>
      </w:r>
      <w:r w:rsidR="00FA7D11" w:rsidRPr="00C44269">
        <w:rPr>
          <w:rFonts w:ascii="Calibri" w:hAnsi="Calibri" w:cs="Calibri"/>
          <w:szCs w:val="24"/>
        </w:rPr>
        <w:t>before a regulator does it</w:t>
      </w:r>
      <w:r w:rsidR="0028374D" w:rsidRPr="00C44269">
        <w:rPr>
          <w:rFonts w:ascii="Calibri" w:hAnsi="Calibri" w:cs="Calibri"/>
          <w:szCs w:val="24"/>
        </w:rPr>
        <w:t xml:space="preserve"> for them</w:t>
      </w:r>
      <w:r w:rsidR="00B96EEF">
        <w:rPr>
          <w:rFonts w:ascii="Calibri" w:hAnsi="Calibri" w:cs="Calibri"/>
          <w:szCs w:val="24"/>
        </w:rPr>
        <w:t>.</w:t>
      </w:r>
      <w:r w:rsidR="00C44269">
        <w:rPr>
          <w:rFonts w:ascii="Calibri" w:hAnsi="Calibri" w:cs="Calibri"/>
          <w:szCs w:val="24"/>
        </w:rPr>
        <w:t xml:space="preserve"> </w:t>
      </w:r>
    </w:p>
    <w:p w14:paraId="55F2461C" w14:textId="77777777" w:rsidR="00460E8A" w:rsidRDefault="00460E8A" w:rsidP="00C44269">
      <w:pPr>
        <w:pStyle w:val="NoSpacing"/>
        <w:rPr>
          <w:rFonts w:ascii="Calibri" w:hAnsi="Calibri" w:cs="Calibri"/>
          <w:szCs w:val="24"/>
        </w:rPr>
      </w:pPr>
    </w:p>
    <w:p w14:paraId="711D4392" w14:textId="77777777" w:rsidR="00851819" w:rsidRDefault="00851819" w:rsidP="00C44269">
      <w:pPr>
        <w:pStyle w:val="NoSpacing"/>
        <w:rPr>
          <w:rFonts w:ascii="Calibri" w:hAnsi="Calibri" w:cs="Calibri"/>
          <w:szCs w:val="24"/>
        </w:rPr>
      </w:pPr>
    </w:p>
    <w:p w14:paraId="4AE3AD04" w14:textId="77777777" w:rsidR="00992B3A" w:rsidRPr="001D2723" w:rsidRDefault="00992B3A" w:rsidP="00992B3A">
      <w:pPr>
        <w:rPr>
          <w:rFonts w:cstheme="minorHAnsi"/>
          <w:sz w:val="18"/>
          <w:szCs w:val="18"/>
        </w:rPr>
      </w:pPr>
      <w:r w:rsidRPr="001D2723">
        <w:rPr>
          <w:rFonts w:cstheme="minorHAnsi"/>
          <w:i/>
          <w:iCs/>
          <w:sz w:val="18"/>
          <w:szCs w:val="18"/>
        </w:rPr>
        <w:t xml:space="preserve">David Ruffin is Principal of IntelliCredit, a division of QwickRate. He has extensive experience in the financial industry including a long and pronounced emphasis on credit risk in a variety of roles that range from bank lender and senior credit officer to the co-founder of IntelliCredit and its technology that is revolutionizing a decades-old loan review process. For more information, visit </w:t>
      </w:r>
      <w:hyperlink r:id="rId11" w:history="1">
        <w:r w:rsidRPr="001D2723">
          <w:rPr>
            <w:rStyle w:val="Hyperlink"/>
            <w:rFonts w:cstheme="minorHAnsi"/>
            <w:sz w:val="18"/>
            <w:szCs w:val="18"/>
          </w:rPr>
          <w:t>intellicredit.com</w:t>
        </w:r>
      </w:hyperlink>
      <w:r w:rsidRPr="001D2723">
        <w:rPr>
          <w:rFonts w:cstheme="minorHAnsi"/>
          <w:i/>
          <w:iCs/>
          <w:sz w:val="18"/>
          <w:szCs w:val="18"/>
        </w:rPr>
        <w:t xml:space="preserve"> or email </w:t>
      </w:r>
      <w:hyperlink r:id="rId12" w:history="1">
        <w:r w:rsidRPr="001D2723">
          <w:rPr>
            <w:rStyle w:val="Hyperlink"/>
            <w:rFonts w:cstheme="minorHAnsi"/>
            <w:sz w:val="18"/>
            <w:szCs w:val="18"/>
          </w:rPr>
          <w:t>info@intellicredit.com</w:t>
        </w:r>
      </w:hyperlink>
      <w:r w:rsidRPr="001D2723">
        <w:rPr>
          <w:rFonts w:cstheme="minorHAnsi"/>
          <w:sz w:val="18"/>
          <w:szCs w:val="18"/>
        </w:rPr>
        <w:t>.</w:t>
      </w:r>
    </w:p>
    <w:p w14:paraId="68A917CC" w14:textId="2276DAEF" w:rsidR="004F46FB" w:rsidRPr="00C44269" w:rsidRDefault="004F46FB" w:rsidP="00C44269">
      <w:pPr>
        <w:pStyle w:val="NoSpacing"/>
        <w:rPr>
          <w:rFonts w:ascii="Calibri" w:hAnsi="Calibri" w:cs="Calibri"/>
          <w:szCs w:val="24"/>
        </w:rPr>
      </w:pPr>
    </w:p>
    <w:sectPr w:rsidR="004F46FB" w:rsidRPr="00C44269" w:rsidSect="00A46064">
      <w:pgSz w:w="12240" w:h="15840"/>
      <w:pgMar w:top="1008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387E5" w14:textId="77777777" w:rsidR="00F83FAD" w:rsidRDefault="00F83FAD" w:rsidP="00F43D34">
      <w:pPr>
        <w:spacing w:after="0" w:line="240" w:lineRule="auto"/>
      </w:pPr>
      <w:r>
        <w:separator/>
      </w:r>
    </w:p>
  </w:endnote>
  <w:endnote w:type="continuationSeparator" w:id="0">
    <w:p w14:paraId="6C0251B5" w14:textId="77777777" w:rsidR="00F83FAD" w:rsidRDefault="00F83FAD" w:rsidP="00F4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9C5DA" w14:textId="77777777" w:rsidR="00F83FAD" w:rsidRDefault="00F83FAD" w:rsidP="00F43D34">
      <w:pPr>
        <w:spacing w:after="0" w:line="240" w:lineRule="auto"/>
      </w:pPr>
      <w:r>
        <w:separator/>
      </w:r>
    </w:p>
  </w:footnote>
  <w:footnote w:type="continuationSeparator" w:id="0">
    <w:p w14:paraId="1EEA5254" w14:textId="77777777" w:rsidR="00F83FAD" w:rsidRDefault="00F83FAD" w:rsidP="00F4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75701B"/>
    <w:multiLevelType w:val="hybridMultilevel"/>
    <w:tmpl w:val="04A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77B3E"/>
    <w:multiLevelType w:val="hybridMultilevel"/>
    <w:tmpl w:val="7F4048B2"/>
    <w:lvl w:ilvl="0" w:tplc="5238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60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84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02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2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C2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7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48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E0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31659158">
    <w:abstractNumId w:val="1"/>
  </w:num>
  <w:num w:numId="2" w16cid:durableId="111810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9B"/>
    <w:rsid w:val="000005AB"/>
    <w:rsid w:val="0000529D"/>
    <w:rsid w:val="00017112"/>
    <w:rsid w:val="000241D5"/>
    <w:rsid w:val="00026902"/>
    <w:rsid w:val="000467BA"/>
    <w:rsid w:val="00065AC2"/>
    <w:rsid w:val="000700CA"/>
    <w:rsid w:val="0007507D"/>
    <w:rsid w:val="000854D4"/>
    <w:rsid w:val="0008715A"/>
    <w:rsid w:val="000A5BD9"/>
    <w:rsid w:val="000C2B1F"/>
    <w:rsid w:val="000E4FCB"/>
    <w:rsid w:val="000E56BF"/>
    <w:rsid w:val="001177EB"/>
    <w:rsid w:val="00122F49"/>
    <w:rsid w:val="00146634"/>
    <w:rsid w:val="00153B4A"/>
    <w:rsid w:val="00155737"/>
    <w:rsid w:val="00156B42"/>
    <w:rsid w:val="00156FB4"/>
    <w:rsid w:val="0016440C"/>
    <w:rsid w:val="00184978"/>
    <w:rsid w:val="00191A71"/>
    <w:rsid w:val="001C61BA"/>
    <w:rsid w:val="001E6D86"/>
    <w:rsid w:val="001F7201"/>
    <w:rsid w:val="00234FDA"/>
    <w:rsid w:val="00241F85"/>
    <w:rsid w:val="00246DFA"/>
    <w:rsid w:val="00256853"/>
    <w:rsid w:val="00272E46"/>
    <w:rsid w:val="00280E01"/>
    <w:rsid w:val="0028374D"/>
    <w:rsid w:val="00285C2F"/>
    <w:rsid w:val="0029416C"/>
    <w:rsid w:val="002A159B"/>
    <w:rsid w:val="002A1D38"/>
    <w:rsid w:val="002B4538"/>
    <w:rsid w:val="002D69F9"/>
    <w:rsid w:val="002E6862"/>
    <w:rsid w:val="002E7B4F"/>
    <w:rsid w:val="002F5829"/>
    <w:rsid w:val="002F7294"/>
    <w:rsid w:val="00305A5D"/>
    <w:rsid w:val="00305B3F"/>
    <w:rsid w:val="003067AA"/>
    <w:rsid w:val="00317591"/>
    <w:rsid w:val="00320387"/>
    <w:rsid w:val="00323FA2"/>
    <w:rsid w:val="003249BA"/>
    <w:rsid w:val="003258F6"/>
    <w:rsid w:val="00327EB6"/>
    <w:rsid w:val="00333715"/>
    <w:rsid w:val="00354DDD"/>
    <w:rsid w:val="00380A25"/>
    <w:rsid w:val="00390169"/>
    <w:rsid w:val="003944EF"/>
    <w:rsid w:val="003B3696"/>
    <w:rsid w:val="003C1A97"/>
    <w:rsid w:val="003C3A44"/>
    <w:rsid w:val="003C4B60"/>
    <w:rsid w:val="003E2879"/>
    <w:rsid w:val="003E57CE"/>
    <w:rsid w:val="003F15F8"/>
    <w:rsid w:val="003F2800"/>
    <w:rsid w:val="00404BF5"/>
    <w:rsid w:val="00410C2D"/>
    <w:rsid w:val="004147C1"/>
    <w:rsid w:val="004163D6"/>
    <w:rsid w:val="00421F19"/>
    <w:rsid w:val="00422950"/>
    <w:rsid w:val="004370DA"/>
    <w:rsid w:val="004442DE"/>
    <w:rsid w:val="00445A6D"/>
    <w:rsid w:val="004470CA"/>
    <w:rsid w:val="00460E8A"/>
    <w:rsid w:val="004771E6"/>
    <w:rsid w:val="00484A36"/>
    <w:rsid w:val="00497AE8"/>
    <w:rsid w:val="004A0F78"/>
    <w:rsid w:val="004A5126"/>
    <w:rsid w:val="004C0193"/>
    <w:rsid w:val="004C2E8D"/>
    <w:rsid w:val="004C5B80"/>
    <w:rsid w:val="004D0ABC"/>
    <w:rsid w:val="004D68EA"/>
    <w:rsid w:val="004E6221"/>
    <w:rsid w:val="004F10D9"/>
    <w:rsid w:val="004F46FB"/>
    <w:rsid w:val="00511B41"/>
    <w:rsid w:val="00517CE1"/>
    <w:rsid w:val="00551959"/>
    <w:rsid w:val="0056000A"/>
    <w:rsid w:val="00570298"/>
    <w:rsid w:val="00584B12"/>
    <w:rsid w:val="005B4327"/>
    <w:rsid w:val="005C3822"/>
    <w:rsid w:val="005D3FF2"/>
    <w:rsid w:val="005F1ACF"/>
    <w:rsid w:val="006070A3"/>
    <w:rsid w:val="006334BD"/>
    <w:rsid w:val="00637931"/>
    <w:rsid w:val="00646D0A"/>
    <w:rsid w:val="006553C1"/>
    <w:rsid w:val="00671F35"/>
    <w:rsid w:val="0069260C"/>
    <w:rsid w:val="00696DD0"/>
    <w:rsid w:val="006B6D1B"/>
    <w:rsid w:val="006C0088"/>
    <w:rsid w:val="006C20B0"/>
    <w:rsid w:val="006C5625"/>
    <w:rsid w:val="006D63F7"/>
    <w:rsid w:val="006F213C"/>
    <w:rsid w:val="00703B0B"/>
    <w:rsid w:val="00704A96"/>
    <w:rsid w:val="00705981"/>
    <w:rsid w:val="0071121E"/>
    <w:rsid w:val="007438E1"/>
    <w:rsid w:val="007525FB"/>
    <w:rsid w:val="00755E3C"/>
    <w:rsid w:val="00763713"/>
    <w:rsid w:val="00766748"/>
    <w:rsid w:val="00770B9B"/>
    <w:rsid w:val="00773A94"/>
    <w:rsid w:val="00774A21"/>
    <w:rsid w:val="0078528D"/>
    <w:rsid w:val="00793562"/>
    <w:rsid w:val="007B634D"/>
    <w:rsid w:val="007B64EE"/>
    <w:rsid w:val="007B69F2"/>
    <w:rsid w:val="007B6EF6"/>
    <w:rsid w:val="007C0D33"/>
    <w:rsid w:val="007C3ABB"/>
    <w:rsid w:val="007C4382"/>
    <w:rsid w:val="007C48D6"/>
    <w:rsid w:val="007D10A2"/>
    <w:rsid w:val="007D2D5E"/>
    <w:rsid w:val="007D6657"/>
    <w:rsid w:val="007D6F2A"/>
    <w:rsid w:val="007E1494"/>
    <w:rsid w:val="007F180E"/>
    <w:rsid w:val="0080664C"/>
    <w:rsid w:val="00811FD1"/>
    <w:rsid w:val="00814C7B"/>
    <w:rsid w:val="00846CEA"/>
    <w:rsid w:val="00851819"/>
    <w:rsid w:val="00860388"/>
    <w:rsid w:val="00880425"/>
    <w:rsid w:val="00891E89"/>
    <w:rsid w:val="008B4AB0"/>
    <w:rsid w:val="008C2203"/>
    <w:rsid w:val="008C4DEA"/>
    <w:rsid w:val="008C55DB"/>
    <w:rsid w:val="008C5C8E"/>
    <w:rsid w:val="008D315D"/>
    <w:rsid w:val="008E6839"/>
    <w:rsid w:val="008F0505"/>
    <w:rsid w:val="008F5D4C"/>
    <w:rsid w:val="00905A47"/>
    <w:rsid w:val="0090791A"/>
    <w:rsid w:val="0091522E"/>
    <w:rsid w:val="00915C8C"/>
    <w:rsid w:val="0092329B"/>
    <w:rsid w:val="009340F5"/>
    <w:rsid w:val="00941A30"/>
    <w:rsid w:val="00946BAE"/>
    <w:rsid w:val="00952A56"/>
    <w:rsid w:val="009635DE"/>
    <w:rsid w:val="00966B56"/>
    <w:rsid w:val="00972199"/>
    <w:rsid w:val="0097777F"/>
    <w:rsid w:val="00981643"/>
    <w:rsid w:val="00992B3A"/>
    <w:rsid w:val="0099693B"/>
    <w:rsid w:val="009A08B4"/>
    <w:rsid w:val="009B3208"/>
    <w:rsid w:val="009C0ADF"/>
    <w:rsid w:val="009F07D2"/>
    <w:rsid w:val="009F2FE9"/>
    <w:rsid w:val="00A021A4"/>
    <w:rsid w:val="00A25330"/>
    <w:rsid w:val="00A339F3"/>
    <w:rsid w:val="00A35147"/>
    <w:rsid w:val="00A352A4"/>
    <w:rsid w:val="00A46064"/>
    <w:rsid w:val="00A6200D"/>
    <w:rsid w:val="00A629D4"/>
    <w:rsid w:val="00A65A28"/>
    <w:rsid w:val="00A67E79"/>
    <w:rsid w:val="00A870FC"/>
    <w:rsid w:val="00AA3A9A"/>
    <w:rsid w:val="00AA6034"/>
    <w:rsid w:val="00AB6DB3"/>
    <w:rsid w:val="00AC2DAB"/>
    <w:rsid w:val="00AE041D"/>
    <w:rsid w:val="00AF0A66"/>
    <w:rsid w:val="00B15470"/>
    <w:rsid w:val="00B17528"/>
    <w:rsid w:val="00B3469B"/>
    <w:rsid w:val="00B3531E"/>
    <w:rsid w:val="00B406A9"/>
    <w:rsid w:val="00B40C63"/>
    <w:rsid w:val="00B64009"/>
    <w:rsid w:val="00B664EC"/>
    <w:rsid w:val="00B7792A"/>
    <w:rsid w:val="00B77DE0"/>
    <w:rsid w:val="00B82154"/>
    <w:rsid w:val="00B96EEF"/>
    <w:rsid w:val="00BB06CB"/>
    <w:rsid w:val="00BB61FA"/>
    <w:rsid w:val="00BB770E"/>
    <w:rsid w:val="00BC020A"/>
    <w:rsid w:val="00BC739F"/>
    <w:rsid w:val="00BC7D98"/>
    <w:rsid w:val="00BD24B4"/>
    <w:rsid w:val="00BD44E0"/>
    <w:rsid w:val="00BD6694"/>
    <w:rsid w:val="00BE740A"/>
    <w:rsid w:val="00C1285E"/>
    <w:rsid w:val="00C25A3F"/>
    <w:rsid w:val="00C30FBF"/>
    <w:rsid w:val="00C316D5"/>
    <w:rsid w:val="00C35BA6"/>
    <w:rsid w:val="00C40659"/>
    <w:rsid w:val="00C44269"/>
    <w:rsid w:val="00C565DF"/>
    <w:rsid w:val="00C6797C"/>
    <w:rsid w:val="00C7643E"/>
    <w:rsid w:val="00CD5D41"/>
    <w:rsid w:val="00CD65FE"/>
    <w:rsid w:val="00CE2BE0"/>
    <w:rsid w:val="00CE666A"/>
    <w:rsid w:val="00CE67C7"/>
    <w:rsid w:val="00D04277"/>
    <w:rsid w:val="00D13F54"/>
    <w:rsid w:val="00D30869"/>
    <w:rsid w:val="00D33348"/>
    <w:rsid w:val="00D438E9"/>
    <w:rsid w:val="00D64827"/>
    <w:rsid w:val="00D67932"/>
    <w:rsid w:val="00DA2B3F"/>
    <w:rsid w:val="00DA5210"/>
    <w:rsid w:val="00DB58D6"/>
    <w:rsid w:val="00DB7246"/>
    <w:rsid w:val="00DC62A4"/>
    <w:rsid w:val="00DC6719"/>
    <w:rsid w:val="00DE3DB4"/>
    <w:rsid w:val="00DF480E"/>
    <w:rsid w:val="00E02BAD"/>
    <w:rsid w:val="00E040FE"/>
    <w:rsid w:val="00E44140"/>
    <w:rsid w:val="00E647D9"/>
    <w:rsid w:val="00E72450"/>
    <w:rsid w:val="00E75192"/>
    <w:rsid w:val="00E82CBB"/>
    <w:rsid w:val="00E86F34"/>
    <w:rsid w:val="00E913EA"/>
    <w:rsid w:val="00E95F2A"/>
    <w:rsid w:val="00E9703B"/>
    <w:rsid w:val="00EA1CB5"/>
    <w:rsid w:val="00EA4EEC"/>
    <w:rsid w:val="00EA5818"/>
    <w:rsid w:val="00EB6363"/>
    <w:rsid w:val="00EC05DC"/>
    <w:rsid w:val="00EC0C16"/>
    <w:rsid w:val="00F01365"/>
    <w:rsid w:val="00F17A45"/>
    <w:rsid w:val="00F26435"/>
    <w:rsid w:val="00F322F3"/>
    <w:rsid w:val="00F42F57"/>
    <w:rsid w:val="00F43D34"/>
    <w:rsid w:val="00F562B3"/>
    <w:rsid w:val="00F7658F"/>
    <w:rsid w:val="00F83FAD"/>
    <w:rsid w:val="00FA33AA"/>
    <w:rsid w:val="00FA7D11"/>
    <w:rsid w:val="00FD14BE"/>
    <w:rsid w:val="00FD3711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7F38C"/>
  <w15:chartTrackingRefBased/>
  <w15:docId w15:val="{CEC781EF-0A7D-482F-A231-AFBE71F7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Theme="minorHAnsi" w:hAnsi="Microsoft Sans Serif" w:cstheme="minorBidi"/>
        <w:kern w:val="2"/>
        <w:sz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6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6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69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69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69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69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69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69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69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CB5"/>
    <w:pPr>
      <w:spacing w:after="0" w:line="240" w:lineRule="auto"/>
    </w:pPr>
    <w:rPr>
      <w:rFonts w:eastAsiaTheme="majorEastAsia" w:cstheme="maj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46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6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69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69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69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69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69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69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69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46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69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469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46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46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46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46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6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6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469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15C8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15C8C"/>
    <w:pPr>
      <w:spacing w:before="100" w:beforeAutospacing="1" w:after="100" w:afterAutospacing="1" w:line="240" w:lineRule="auto"/>
    </w:pPr>
    <w:rPr>
      <w:rFonts w:ascii="Aptos" w:hAnsi="Aptos" w:cs="Aptos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4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34"/>
  </w:style>
  <w:style w:type="paragraph" w:styleId="Footer">
    <w:name w:val="footer"/>
    <w:basedOn w:val="Normal"/>
    <w:link w:val="FooterChar"/>
    <w:uiPriority w:val="99"/>
    <w:unhideWhenUsed/>
    <w:rsid w:val="00F4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34"/>
  </w:style>
  <w:style w:type="paragraph" w:styleId="Revision">
    <w:name w:val="Revision"/>
    <w:hidden/>
    <w:uiPriority w:val="99"/>
    <w:semiHidden/>
    <w:rsid w:val="00380A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1A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1A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1A4"/>
    <w:rPr>
      <w:b/>
      <w:bCs/>
      <w:sz w:val="20"/>
    </w:rPr>
  </w:style>
  <w:style w:type="paragraph" w:styleId="NoSpacing">
    <w:name w:val="No Spacing"/>
    <w:uiPriority w:val="1"/>
    <w:qFormat/>
    <w:rsid w:val="00C4426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A5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83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2982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61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9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4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59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80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8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23/07/06/2023-14247/policy-statement-on-prudent-commercial-real-estate-loan-accommodations-and-workou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intellicredit.com?subject=Inquiry%20from%20BankDirector%20article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llicredit.com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atlantafed.org/center-for-housing-and-policy/data-and-tools/commercial-real-estate-market-inde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16" ma:contentTypeDescription="Create a new document." ma:contentTypeScope="" ma:versionID="75ff88f1810271858e87e0f8b7d4f9fc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2873c279aa23739ca28665cca1219a4f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301ac0-2305-4e28-8180-78daa6a574dc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264B8-B824-4549-A4EE-896AD1E99ED4}"/>
</file>

<file path=customXml/itemProps2.xml><?xml version="1.0" encoding="utf-8"?>
<ds:datastoreItem xmlns:ds="http://schemas.openxmlformats.org/officeDocument/2006/customXml" ds:itemID="{ACC8CD64-286F-483C-8201-340322FFB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Ruffin</dc:creator>
  <cp:keywords/>
  <dc:description/>
  <cp:lastModifiedBy>Lindsay Greene</cp:lastModifiedBy>
  <cp:revision>2</cp:revision>
  <dcterms:created xsi:type="dcterms:W3CDTF">2024-06-30T20:02:00Z</dcterms:created>
  <dcterms:modified xsi:type="dcterms:W3CDTF">2024-06-30T20:02:00Z</dcterms:modified>
</cp:coreProperties>
</file>