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923C" w14:textId="6AD7EF6C" w:rsidR="00BC1D6F" w:rsidRDefault="005D4C79" w:rsidP="00BC1D6F">
      <w:pPr>
        <w:spacing w:line="276" w:lineRule="auto"/>
        <w:rPr>
          <w:rFonts w:cstheme="minorHAnsi"/>
          <w:b/>
          <w:kern w:val="0"/>
          <w:sz w:val="28"/>
          <w:szCs w:val="22"/>
          <w14:ligatures w14:val="none"/>
        </w:rPr>
      </w:pPr>
      <w:r>
        <w:rPr>
          <w:rFonts w:cstheme="minorHAnsi"/>
          <w:b/>
          <w:kern w:val="0"/>
          <w:sz w:val="28"/>
          <w:szCs w:val="22"/>
          <w14:ligatures w14:val="none"/>
        </w:rPr>
        <w:t xml:space="preserve">Hold on! </w:t>
      </w:r>
      <w:r w:rsidR="00BC1D6F" w:rsidRPr="00BC1D6F">
        <w:rPr>
          <w:rFonts w:cstheme="minorHAnsi"/>
          <w:b/>
          <w:kern w:val="0"/>
          <w:sz w:val="28"/>
          <w:szCs w:val="22"/>
          <w14:ligatures w14:val="none"/>
        </w:rPr>
        <w:t xml:space="preserve">Bank loan quality doesn’t </w:t>
      </w:r>
      <w:r>
        <w:rPr>
          <w:rFonts w:cstheme="minorHAnsi"/>
          <w:b/>
          <w:kern w:val="0"/>
          <w:sz w:val="28"/>
          <w:szCs w:val="22"/>
          <w14:ligatures w14:val="none"/>
        </w:rPr>
        <w:t>align</w:t>
      </w:r>
      <w:r w:rsidR="00BC1D6F" w:rsidRPr="00BC1D6F">
        <w:rPr>
          <w:rFonts w:cstheme="minorHAnsi"/>
          <w:b/>
          <w:kern w:val="0"/>
          <w:sz w:val="28"/>
          <w:szCs w:val="22"/>
          <w14:ligatures w14:val="none"/>
        </w:rPr>
        <w:t xml:space="preserve"> with Wall Street metrics</w:t>
      </w:r>
    </w:p>
    <w:p w14:paraId="46C9C1F1" w14:textId="77777777" w:rsidR="00BC1D6F" w:rsidRDefault="00BC1D6F" w:rsidP="00BC1D6F">
      <w:pPr>
        <w:spacing w:line="276" w:lineRule="auto"/>
        <w:rPr>
          <w:rFonts w:cstheme="minorHAnsi"/>
          <w:b/>
          <w:kern w:val="0"/>
          <w:sz w:val="28"/>
          <w:szCs w:val="22"/>
          <w14:ligatures w14:val="none"/>
        </w:rPr>
      </w:pPr>
    </w:p>
    <w:p w14:paraId="6665AE79" w14:textId="77777777" w:rsidR="00065EC0" w:rsidRPr="00B9299C" w:rsidRDefault="00065EC0" w:rsidP="00065EC0">
      <w:pPr>
        <w:spacing w:line="276" w:lineRule="auto"/>
        <w:rPr>
          <w:rFonts w:cstheme="minorHAnsi"/>
          <w:bCs/>
          <w:kern w:val="0"/>
          <w14:ligatures w14:val="none"/>
        </w:rPr>
      </w:pPr>
      <w:r w:rsidRPr="00B9299C">
        <w:rPr>
          <w:rFonts w:cstheme="minorHAnsi"/>
          <w:bCs/>
          <w:kern w:val="0"/>
          <w14:ligatures w14:val="none"/>
        </w:rPr>
        <w:t xml:space="preserve">By: </w:t>
      </w:r>
      <w:r w:rsidRPr="00B9299C">
        <w:rPr>
          <w:rFonts w:cstheme="minorHAnsi"/>
          <w:bCs/>
        </w:rPr>
        <w:t>David Ruffin, principal of IntelliCredit, a division of QwickRate</w:t>
      </w:r>
    </w:p>
    <w:p w14:paraId="5520CD02" w14:textId="77777777" w:rsidR="00065EC0" w:rsidRPr="00BC1D6F" w:rsidRDefault="00065EC0" w:rsidP="00BC1D6F">
      <w:pPr>
        <w:spacing w:line="276" w:lineRule="auto"/>
        <w:rPr>
          <w:rFonts w:cstheme="minorHAnsi"/>
          <w:b/>
          <w:kern w:val="0"/>
          <w:sz w:val="28"/>
          <w:szCs w:val="22"/>
          <w14:ligatures w14:val="none"/>
        </w:rPr>
      </w:pPr>
    </w:p>
    <w:p w14:paraId="45221297" w14:textId="77777777" w:rsidR="00BC1D6F" w:rsidRPr="002E776F" w:rsidRDefault="00BC1D6F" w:rsidP="00BC1D6F">
      <w:pPr>
        <w:rPr>
          <w:rFonts w:cstheme="minorHAnsi"/>
          <w:sz w:val="22"/>
          <w:szCs w:val="22"/>
        </w:rPr>
      </w:pPr>
      <w:r w:rsidRPr="002E776F">
        <w:rPr>
          <w:rFonts w:cstheme="minorHAnsi"/>
          <w:sz w:val="22"/>
          <w:szCs w:val="22"/>
        </w:rPr>
        <w:t>Well . . . at least not in real time.</w:t>
      </w:r>
    </w:p>
    <w:p w14:paraId="4730151B" w14:textId="77777777" w:rsidR="00BC1D6F" w:rsidRPr="00BC1D6F" w:rsidRDefault="00BC1D6F" w:rsidP="00BC1D6F">
      <w:pPr>
        <w:rPr>
          <w:rFonts w:cstheme="minorHAnsi"/>
        </w:rPr>
      </w:pPr>
    </w:p>
    <w:p w14:paraId="1AA67604" w14:textId="2B8F9DFF" w:rsidR="00BC1D6F" w:rsidRDefault="00BC1D6F" w:rsidP="00BC1D6F">
      <w:pPr>
        <w:rPr>
          <w:rFonts w:cstheme="minorHAnsi"/>
          <w:sz w:val="22"/>
          <w:szCs w:val="22"/>
        </w:rPr>
      </w:pPr>
      <w:r w:rsidRPr="00BC1D6F">
        <w:rPr>
          <w:rFonts w:cstheme="minorHAnsi"/>
          <w:sz w:val="22"/>
          <w:szCs w:val="22"/>
        </w:rPr>
        <w:t>I recently heard a senior lending officer proclaim, with obvious relief, “Looks like we’ve dodged the recession bullet. We’re refocusing on loan growth opportunities.” The Fed-orchestrated “soft landing” is, of course, what our industry desires</w:t>
      </w:r>
      <w:r w:rsidR="005D4C79">
        <w:rPr>
          <w:rFonts w:cstheme="minorHAnsi"/>
          <w:sz w:val="22"/>
          <w:szCs w:val="22"/>
        </w:rPr>
        <w:t>,</w:t>
      </w:r>
      <w:r w:rsidRPr="00BC1D6F">
        <w:rPr>
          <w:rFonts w:cstheme="minorHAnsi"/>
          <w:sz w:val="22"/>
          <w:szCs w:val="22"/>
        </w:rPr>
        <w:t xml:space="preserve"> but history clearly warns that </w:t>
      </w:r>
      <w:r w:rsidR="005D4C79">
        <w:rPr>
          <w:rFonts w:cstheme="minorHAnsi"/>
          <w:sz w:val="22"/>
          <w:szCs w:val="22"/>
        </w:rPr>
        <w:t xml:space="preserve">it can take years before the effects of </w:t>
      </w:r>
      <w:r w:rsidRPr="00BC1D6F">
        <w:rPr>
          <w:rFonts w:cstheme="minorHAnsi"/>
          <w:sz w:val="22"/>
          <w:szCs w:val="22"/>
        </w:rPr>
        <w:t xml:space="preserve">macro events such as pandemics, rate shocks and rampant inflation actually </w:t>
      </w:r>
      <w:r w:rsidR="005D4C79">
        <w:rPr>
          <w:rFonts w:cstheme="minorHAnsi"/>
          <w:sz w:val="22"/>
          <w:szCs w:val="22"/>
        </w:rPr>
        <w:t>show up i</w:t>
      </w:r>
      <w:r w:rsidRPr="00BC1D6F">
        <w:rPr>
          <w:rFonts w:cstheme="minorHAnsi"/>
          <w:sz w:val="22"/>
          <w:szCs w:val="22"/>
        </w:rPr>
        <w:t xml:space="preserve">n </w:t>
      </w:r>
      <w:r w:rsidR="005D4C79">
        <w:rPr>
          <w:rFonts w:cstheme="minorHAnsi"/>
          <w:sz w:val="22"/>
          <w:szCs w:val="22"/>
        </w:rPr>
        <w:t xml:space="preserve">lower </w:t>
      </w:r>
      <w:r w:rsidRPr="00BC1D6F">
        <w:rPr>
          <w:rFonts w:cstheme="minorHAnsi"/>
          <w:sz w:val="22"/>
          <w:szCs w:val="22"/>
        </w:rPr>
        <w:t xml:space="preserve">credit quality. Even as these triggering events subside or abate, the lesson is clear: we shouldn’t let our guard down yet.     </w:t>
      </w:r>
    </w:p>
    <w:p w14:paraId="7F0A3CAF" w14:textId="77777777" w:rsidR="00BC1D6F" w:rsidRPr="00BC1D6F" w:rsidRDefault="00BC1D6F" w:rsidP="00BC1D6F">
      <w:pPr>
        <w:rPr>
          <w:rFonts w:cstheme="minorHAnsi"/>
          <w:sz w:val="22"/>
          <w:szCs w:val="22"/>
        </w:rPr>
      </w:pPr>
    </w:p>
    <w:p w14:paraId="46C6FF7C" w14:textId="77777777" w:rsidR="00BC1D6F" w:rsidRPr="002E776F" w:rsidRDefault="00BC1D6F" w:rsidP="00BC1D6F">
      <w:pPr>
        <w:rPr>
          <w:rFonts w:cstheme="minorHAnsi"/>
          <w:b/>
          <w:bCs/>
          <w:sz w:val="22"/>
          <w:szCs w:val="22"/>
        </w:rPr>
      </w:pPr>
      <w:r w:rsidRPr="002E776F">
        <w:rPr>
          <w:rFonts w:cstheme="minorHAnsi"/>
          <w:b/>
          <w:bCs/>
          <w:sz w:val="22"/>
          <w:szCs w:val="22"/>
        </w:rPr>
        <w:t>The Good</w:t>
      </w:r>
    </w:p>
    <w:p w14:paraId="5B43FFE7" w14:textId="77777777" w:rsidR="00BC1D6F" w:rsidRPr="00BC1D6F" w:rsidRDefault="00BC1D6F" w:rsidP="00BC1D6F">
      <w:pPr>
        <w:rPr>
          <w:rFonts w:cstheme="minorHAnsi"/>
          <w:b/>
          <w:bCs/>
          <w:sz w:val="22"/>
          <w:szCs w:val="22"/>
        </w:rPr>
      </w:pPr>
    </w:p>
    <w:p w14:paraId="5ABD222C" w14:textId="45A52ECD" w:rsidR="00BC1D6F" w:rsidRDefault="00BC1D6F" w:rsidP="00BC1D6F">
      <w:pPr>
        <w:rPr>
          <w:rFonts w:cstheme="minorHAnsi"/>
          <w:sz w:val="22"/>
          <w:szCs w:val="22"/>
        </w:rPr>
      </w:pPr>
      <w:r w:rsidRPr="00BC1D6F">
        <w:rPr>
          <w:rFonts w:cstheme="minorHAnsi"/>
          <w:sz w:val="22"/>
          <w:szCs w:val="22"/>
        </w:rPr>
        <w:t>Despite weaknesses</w:t>
      </w:r>
      <w:r w:rsidR="005D4C79">
        <w:rPr>
          <w:rFonts w:cstheme="minorHAnsi"/>
          <w:sz w:val="22"/>
          <w:szCs w:val="22"/>
        </w:rPr>
        <w:t xml:space="preserve"> in specific sectors of the economy</w:t>
      </w:r>
      <w:r w:rsidRPr="00BC1D6F">
        <w:rPr>
          <w:rFonts w:cstheme="minorHAnsi"/>
          <w:sz w:val="22"/>
          <w:szCs w:val="22"/>
        </w:rPr>
        <w:t xml:space="preserve">, overall job growth and unemployment have remained resilient in the face of perceived economic pressures. </w:t>
      </w:r>
      <w:r w:rsidR="008B4C4E">
        <w:rPr>
          <w:rFonts w:cstheme="minorHAnsi"/>
          <w:sz w:val="22"/>
          <w:szCs w:val="22"/>
        </w:rPr>
        <w:t>T</w:t>
      </w:r>
      <w:r w:rsidR="008B4C4E" w:rsidRPr="00BC1D6F">
        <w:rPr>
          <w:rFonts w:cstheme="minorHAnsi"/>
          <w:sz w:val="22"/>
          <w:szCs w:val="22"/>
        </w:rPr>
        <w:t>he inflation</w:t>
      </w:r>
      <w:r w:rsidR="008B4C4E">
        <w:rPr>
          <w:rFonts w:cstheme="minorHAnsi"/>
          <w:sz w:val="22"/>
          <w:szCs w:val="22"/>
        </w:rPr>
        <w:t xml:space="preserve"> rate in December</w:t>
      </w:r>
      <w:r w:rsidR="008B4C4E" w:rsidRPr="00BC1D6F">
        <w:rPr>
          <w:rFonts w:cstheme="minorHAnsi"/>
          <w:sz w:val="22"/>
          <w:szCs w:val="22"/>
        </w:rPr>
        <w:t xml:space="preserve"> </w:t>
      </w:r>
      <w:r w:rsidR="008B4C4E">
        <w:rPr>
          <w:rFonts w:cstheme="minorHAnsi"/>
          <w:sz w:val="22"/>
          <w:szCs w:val="22"/>
        </w:rPr>
        <w:t xml:space="preserve">fell to </w:t>
      </w:r>
      <w:r w:rsidR="008B4C4E" w:rsidRPr="00BC1D6F">
        <w:rPr>
          <w:rFonts w:cstheme="minorHAnsi"/>
          <w:sz w:val="22"/>
          <w:szCs w:val="22"/>
        </w:rPr>
        <w:t>3.</w:t>
      </w:r>
      <w:r w:rsidR="008B4C4E">
        <w:rPr>
          <w:rFonts w:cstheme="minorHAnsi"/>
          <w:sz w:val="22"/>
          <w:szCs w:val="22"/>
        </w:rPr>
        <w:t>4</w:t>
      </w:r>
      <w:r w:rsidR="008B4C4E" w:rsidRPr="00BC1D6F">
        <w:rPr>
          <w:rFonts w:cstheme="minorHAnsi"/>
          <w:sz w:val="22"/>
          <w:szCs w:val="22"/>
        </w:rPr>
        <w:t xml:space="preserve">% vs. </w:t>
      </w:r>
      <w:r w:rsidR="008B4C4E">
        <w:rPr>
          <w:rFonts w:cstheme="minorHAnsi"/>
          <w:sz w:val="22"/>
          <w:szCs w:val="22"/>
        </w:rPr>
        <w:t>6.5</w:t>
      </w:r>
      <w:r w:rsidR="008B4C4E" w:rsidRPr="00BC1D6F">
        <w:rPr>
          <w:rFonts w:cstheme="minorHAnsi"/>
          <w:sz w:val="22"/>
          <w:szCs w:val="22"/>
        </w:rPr>
        <w:t>% a year earlier</w:t>
      </w:r>
      <w:r w:rsidR="008B4C4E">
        <w:rPr>
          <w:rFonts w:cstheme="minorHAnsi"/>
          <w:sz w:val="22"/>
          <w:szCs w:val="22"/>
        </w:rPr>
        <w:t xml:space="preserve">, and </w:t>
      </w:r>
      <w:r w:rsidR="008B4C4E" w:rsidRPr="00BC1D6F">
        <w:rPr>
          <w:rFonts w:cstheme="minorHAnsi"/>
          <w:sz w:val="22"/>
          <w:szCs w:val="22"/>
        </w:rPr>
        <w:t xml:space="preserve">the Federal Reserve has hinted at </w:t>
      </w:r>
      <w:r w:rsidR="008B4C4E">
        <w:rPr>
          <w:rFonts w:cstheme="minorHAnsi"/>
          <w:sz w:val="22"/>
          <w:szCs w:val="22"/>
        </w:rPr>
        <w:t>lowering interest r</w:t>
      </w:r>
      <w:r w:rsidR="008B4C4E" w:rsidRPr="00BC1D6F">
        <w:rPr>
          <w:rFonts w:cstheme="minorHAnsi"/>
          <w:sz w:val="22"/>
          <w:szCs w:val="22"/>
        </w:rPr>
        <w:t>ate</w:t>
      </w:r>
      <w:r w:rsidR="008B4C4E">
        <w:rPr>
          <w:rFonts w:cstheme="minorHAnsi"/>
          <w:sz w:val="22"/>
          <w:szCs w:val="22"/>
        </w:rPr>
        <w:t>s soon in response</w:t>
      </w:r>
      <w:r w:rsidRPr="00BC1D6F">
        <w:rPr>
          <w:rFonts w:cstheme="minorHAnsi"/>
          <w:sz w:val="22"/>
          <w:szCs w:val="22"/>
        </w:rPr>
        <w:t>. While current rates are moderate compared to standards set in the ‘70s and '80s, cutting interest rates will certainly be a boon for the nearly-decimated mortgage industry</w:t>
      </w:r>
      <w:r w:rsidR="008B4C4E">
        <w:rPr>
          <w:rFonts w:cstheme="minorHAnsi"/>
          <w:sz w:val="22"/>
          <w:szCs w:val="22"/>
        </w:rPr>
        <w:t xml:space="preserve"> and other lenders</w:t>
      </w:r>
      <w:r w:rsidRPr="00BC1D6F">
        <w:rPr>
          <w:rFonts w:cstheme="minorHAnsi"/>
          <w:sz w:val="22"/>
          <w:szCs w:val="22"/>
        </w:rPr>
        <w:t xml:space="preserve">.    </w:t>
      </w:r>
    </w:p>
    <w:p w14:paraId="24D4E959" w14:textId="77777777" w:rsidR="00BC1D6F" w:rsidRPr="00BC1D6F" w:rsidRDefault="00BC1D6F" w:rsidP="00BC1D6F">
      <w:pPr>
        <w:rPr>
          <w:rFonts w:cstheme="minorHAnsi"/>
          <w:sz w:val="22"/>
          <w:szCs w:val="22"/>
        </w:rPr>
      </w:pPr>
    </w:p>
    <w:p w14:paraId="1708BC5F" w14:textId="77777777" w:rsidR="00BC1D6F" w:rsidRPr="002E776F" w:rsidRDefault="00BC1D6F" w:rsidP="00BC1D6F">
      <w:pPr>
        <w:rPr>
          <w:rFonts w:cstheme="minorHAnsi"/>
          <w:b/>
          <w:bCs/>
          <w:sz w:val="22"/>
          <w:szCs w:val="22"/>
        </w:rPr>
      </w:pPr>
      <w:r w:rsidRPr="002E776F">
        <w:rPr>
          <w:rFonts w:cstheme="minorHAnsi"/>
          <w:b/>
          <w:bCs/>
          <w:sz w:val="22"/>
          <w:szCs w:val="22"/>
        </w:rPr>
        <w:t>The Bad</w:t>
      </w:r>
    </w:p>
    <w:p w14:paraId="452F5577" w14:textId="77777777" w:rsidR="00BC1D6F" w:rsidRPr="00BC1D6F" w:rsidRDefault="00BC1D6F" w:rsidP="00BC1D6F">
      <w:pPr>
        <w:rPr>
          <w:rFonts w:cstheme="minorHAnsi"/>
          <w:b/>
          <w:bCs/>
          <w:sz w:val="22"/>
          <w:szCs w:val="22"/>
        </w:rPr>
      </w:pPr>
      <w:r w:rsidRPr="00BC1D6F">
        <w:rPr>
          <w:rFonts w:cstheme="minorHAnsi"/>
          <w:b/>
          <w:bCs/>
          <w:sz w:val="22"/>
          <w:szCs w:val="22"/>
        </w:rPr>
        <w:tab/>
      </w:r>
    </w:p>
    <w:p w14:paraId="43EE7E9C" w14:textId="7908FADE" w:rsidR="00BC1D6F" w:rsidRDefault="008B4C4E" w:rsidP="00BC1D6F">
      <w:pPr>
        <w:rPr>
          <w:rFonts w:cstheme="minorHAnsi"/>
          <w:sz w:val="22"/>
          <w:szCs w:val="22"/>
        </w:rPr>
      </w:pPr>
      <w:r w:rsidRPr="00FB484F">
        <w:rPr>
          <w:rFonts w:cstheme="minorHAnsi"/>
          <w:sz w:val="22"/>
          <w:szCs w:val="22"/>
        </w:rPr>
        <w:t xml:space="preserve">Despite </w:t>
      </w:r>
      <w:r>
        <w:rPr>
          <w:rFonts w:cstheme="minorHAnsi"/>
          <w:sz w:val="22"/>
          <w:szCs w:val="22"/>
        </w:rPr>
        <w:t xml:space="preserve">those promising </w:t>
      </w:r>
      <w:r w:rsidRPr="00FB484F">
        <w:rPr>
          <w:rFonts w:cstheme="minorHAnsi"/>
          <w:sz w:val="22"/>
          <w:szCs w:val="22"/>
        </w:rPr>
        <w:t>economic indicators, other data signals potential challenges ahead.</w:t>
      </w:r>
    </w:p>
    <w:p w14:paraId="2F7C1258" w14:textId="77777777" w:rsidR="002E4A26" w:rsidRPr="00BC1D6F" w:rsidRDefault="002E4A26" w:rsidP="00BC1D6F">
      <w:pPr>
        <w:rPr>
          <w:rFonts w:cstheme="minorHAnsi"/>
          <w:sz w:val="22"/>
          <w:szCs w:val="22"/>
        </w:rPr>
      </w:pPr>
    </w:p>
    <w:p w14:paraId="45D8947B" w14:textId="6DD43496" w:rsidR="00BC1D6F" w:rsidRPr="002E4A26" w:rsidRDefault="00BC1D6F" w:rsidP="002E4A2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E4A26">
        <w:rPr>
          <w:rFonts w:cstheme="minorHAnsi"/>
          <w:sz w:val="22"/>
          <w:szCs w:val="22"/>
        </w:rPr>
        <w:t xml:space="preserve">A December 2023 study by renowned academics for the </w:t>
      </w:r>
      <w:hyperlink r:id="rId8" w:history="1">
        <w:r w:rsidRPr="008B4C4E">
          <w:rPr>
            <w:rStyle w:val="Hyperlink"/>
            <w:rFonts w:cstheme="minorHAnsi"/>
            <w:i/>
            <w:iCs/>
            <w:sz w:val="22"/>
            <w:szCs w:val="22"/>
          </w:rPr>
          <w:t>National Bureau of Economic Research</w:t>
        </w:r>
      </w:hyperlink>
      <w:r w:rsidRPr="002E4A26">
        <w:rPr>
          <w:rFonts w:cstheme="minorHAnsi"/>
          <w:sz w:val="22"/>
          <w:szCs w:val="22"/>
        </w:rPr>
        <w:t xml:space="preserve"> indicated that </w:t>
      </w:r>
      <w:r w:rsidR="008B4C4E">
        <w:rPr>
          <w:rFonts w:cstheme="minorHAnsi"/>
          <w:sz w:val="22"/>
          <w:szCs w:val="22"/>
        </w:rPr>
        <w:t xml:space="preserve">about </w:t>
      </w:r>
      <w:r w:rsidRPr="002E4A26">
        <w:rPr>
          <w:rFonts w:cstheme="minorHAnsi"/>
          <w:sz w:val="22"/>
          <w:szCs w:val="22"/>
        </w:rPr>
        <w:t>44% of banks’ office loans are underwater (equity-to-loan value) with vacancies soaring</w:t>
      </w:r>
      <w:r w:rsidR="008B4C4E">
        <w:rPr>
          <w:rFonts w:cstheme="minorHAnsi"/>
          <w:sz w:val="22"/>
          <w:szCs w:val="22"/>
        </w:rPr>
        <w:t xml:space="preserve">. The study noted that </w:t>
      </w:r>
      <w:r w:rsidRPr="002E4A26">
        <w:rPr>
          <w:rFonts w:cstheme="minorHAnsi"/>
          <w:sz w:val="22"/>
          <w:szCs w:val="22"/>
        </w:rPr>
        <w:t xml:space="preserve">a 10% default rate on broader </w:t>
      </w:r>
      <w:r w:rsidR="008B4C4E">
        <w:rPr>
          <w:rFonts w:cstheme="minorHAnsi"/>
          <w:sz w:val="22"/>
          <w:szCs w:val="22"/>
        </w:rPr>
        <w:t>commercial real estate (</w:t>
      </w:r>
      <w:r w:rsidRPr="002E4A26">
        <w:rPr>
          <w:rFonts w:cstheme="minorHAnsi"/>
          <w:sz w:val="22"/>
          <w:szCs w:val="22"/>
        </w:rPr>
        <w:t>CRE</w:t>
      </w:r>
      <w:r w:rsidR="008B4C4E">
        <w:rPr>
          <w:rFonts w:cstheme="minorHAnsi"/>
          <w:sz w:val="22"/>
          <w:szCs w:val="22"/>
        </w:rPr>
        <w:t>)</w:t>
      </w:r>
      <w:r w:rsidRPr="002E4A26">
        <w:rPr>
          <w:rFonts w:cstheme="minorHAnsi"/>
          <w:sz w:val="22"/>
          <w:szCs w:val="22"/>
        </w:rPr>
        <w:t xml:space="preserve"> loans would result in </w:t>
      </w:r>
      <w:r w:rsidR="008B4C4E">
        <w:rPr>
          <w:rFonts w:cstheme="minorHAnsi"/>
          <w:sz w:val="22"/>
          <w:szCs w:val="22"/>
        </w:rPr>
        <w:t xml:space="preserve">about </w:t>
      </w:r>
      <w:r w:rsidRPr="002E4A26">
        <w:rPr>
          <w:rFonts w:cstheme="minorHAnsi"/>
          <w:sz w:val="22"/>
          <w:szCs w:val="22"/>
        </w:rPr>
        <w:t xml:space="preserve">$80B in bank losses. Some fear that the </w:t>
      </w:r>
      <w:r w:rsidR="008B4C4E">
        <w:rPr>
          <w:rFonts w:cstheme="minorHAnsi"/>
          <w:sz w:val="22"/>
          <w:szCs w:val="22"/>
        </w:rPr>
        <w:t>drag of higher rates</w:t>
      </w:r>
      <w:r w:rsidRPr="002E4A26">
        <w:rPr>
          <w:rFonts w:cstheme="minorHAnsi"/>
          <w:sz w:val="22"/>
          <w:szCs w:val="22"/>
        </w:rPr>
        <w:t xml:space="preserve"> on the 1-4 family housing sector has created a multifamily housing bubble.</w:t>
      </w:r>
    </w:p>
    <w:p w14:paraId="20C51CB6" w14:textId="77777777" w:rsidR="00BC1D6F" w:rsidRPr="00BC1D6F" w:rsidRDefault="00BC1D6F" w:rsidP="00BC1D6F">
      <w:pPr>
        <w:rPr>
          <w:rFonts w:cstheme="minorHAnsi"/>
          <w:sz w:val="22"/>
          <w:szCs w:val="22"/>
        </w:rPr>
      </w:pPr>
    </w:p>
    <w:p w14:paraId="44EB266B" w14:textId="1CEFC8ED" w:rsidR="00BC1D6F" w:rsidRPr="00BC1D6F" w:rsidRDefault="00BC1D6F" w:rsidP="002E4A2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C1D6F">
        <w:rPr>
          <w:rFonts w:cstheme="minorHAnsi"/>
          <w:sz w:val="22"/>
          <w:szCs w:val="22"/>
        </w:rPr>
        <w:t xml:space="preserve">The research group </w:t>
      </w:r>
      <w:r w:rsidRPr="002E4A26">
        <w:rPr>
          <w:rFonts w:cstheme="minorHAnsi"/>
          <w:i/>
          <w:iCs/>
          <w:sz w:val="22"/>
          <w:szCs w:val="22"/>
        </w:rPr>
        <w:t>MSCI Real Capital Analytics</w:t>
      </w:r>
      <w:r w:rsidRPr="00BC1D6F">
        <w:rPr>
          <w:rFonts w:cstheme="minorHAnsi"/>
          <w:sz w:val="22"/>
          <w:szCs w:val="22"/>
        </w:rPr>
        <w:t xml:space="preserve"> </w:t>
      </w:r>
      <w:r w:rsidR="008B4C4E">
        <w:rPr>
          <w:rFonts w:cstheme="minorHAnsi"/>
          <w:sz w:val="22"/>
          <w:szCs w:val="22"/>
        </w:rPr>
        <w:t>reported</w:t>
      </w:r>
      <w:r w:rsidR="008B4C4E" w:rsidRPr="00BC1D6F">
        <w:rPr>
          <w:rFonts w:cstheme="minorHAnsi"/>
          <w:sz w:val="22"/>
          <w:szCs w:val="22"/>
        </w:rPr>
        <w:t xml:space="preserve"> </w:t>
      </w:r>
      <w:r w:rsidRPr="00BC1D6F">
        <w:rPr>
          <w:rFonts w:cstheme="minorHAnsi"/>
          <w:sz w:val="22"/>
          <w:szCs w:val="22"/>
        </w:rPr>
        <w:t>last summer that the community and regional bank share of the U</w:t>
      </w:r>
      <w:r w:rsidR="008B4C4E">
        <w:rPr>
          <w:rFonts w:cstheme="minorHAnsi"/>
          <w:sz w:val="22"/>
          <w:szCs w:val="22"/>
        </w:rPr>
        <w:t>.</w:t>
      </w:r>
      <w:r w:rsidRPr="00BC1D6F">
        <w:rPr>
          <w:rFonts w:cstheme="minorHAnsi"/>
          <w:sz w:val="22"/>
          <w:szCs w:val="22"/>
        </w:rPr>
        <w:t>S</w:t>
      </w:r>
      <w:r w:rsidR="008B4C4E">
        <w:rPr>
          <w:rFonts w:cstheme="minorHAnsi"/>
          <w:sz w:val="22"/>
          <w:szCs w:val="22"/>
        </w:rPr>
        <w:t>.</w:t>
      </w:r>
      <w:r w:rsidRPr="00BC1D6F">
        <w:rPr>
          <w:rFonts w:cstheme="minorHAnsi"/>
          <w:sz w:val="22"/>
          <w:szCs w:val="22"/>
        </w:rPr>
        <w:t xml:space="preserve"> CRE market had exploded from 17% to 27% just since the pandemic. While the smaller banks have increased their CRE loans, investors and larger institutions have shed </w:t>
      </w:r>
      <w:r w:rsidR="008B4C4E">
        <w:rPr>
          <w:rFonts w:cstheme="minorHAnsi"/>
          <w:sz w:val="22"/>
          <w:szCs w:val="22"/>
        </w:rPr>
        <w:t xml:space="preserve">CRE </w:t>
      </w:r>
      <w:r w:rsidRPr="00BC1D6F">
        <w:rPr>
          <w:rFonts w:cstheme="minorHAnsi"/>
          <w:sz w:val="22"/>
          <w:szCs w:val="22"/>
        </w:rPr>
        <w:t xml:space="preserve">exposures </w:t>
      </w:r>
      <w:r w:rsidR="008B4C4E">
        <w:rPr>
          <w:rFonts w:cstheme="minorHAnsi"/>
          <w:sz w:val="22"/>
          <w:szCs w:val="22"/>
        </w:rPr>
        <w:t xml:space="preserve">due to credit quality concerns and heightened </w:t>
      </w:r>
      <w:r w:rsidRPr="00BC1D6F">
        <w:rPr>
          <w:rFonts w:cstheme="minorHAnsi"/>
          <w:sz w:val="22"/>
          <w:szCs w:val="22"/>
        </w:rPr>
        <w:t>regulator</w:t>
      </w:r>
      <w:r w:rsidR="00952B43">
        <w:rPr>
          <w:rFonts w:cstheme="minorHAnsi"/>
          <w:sz w:val="22"/>
          <w:szCs w:val="22"/>
        </w:rPr>
        <w:t>y</w:t>
      </w:r>
      <w:r w:rsidR="008B4C4E">
        <w:rPr>
          <w:rFonts w:cstheme="minorHAnsi"/>
          <w:sz w:val="22"/>
          <w:szCs w:val="22"/>
        </w:rPr>
        <w:t xml:space="preserve"> scrutiny</w:t>
      </w:r>
      <w:r w:rsidRPr="00BC1D6F">
        <w:rPr>
          <w:rFonts w:cstheme="minorHAnsi"/>
          <w:sz w:val="22"/>
          <w:szCs w:val="22"/>
        </w:rPr>
        <w:t xml:space="preserve">.   </w:t>
      </w:r>
    </w:p>
    <w:p w14:paraId="0C2DA879" w14:textId="77777777" w:rsidR="00BC1D6F" w:rsidRPr="00BC1D6F" w:rsidRDefault="00BC1D6F" w:rsidP="002E4A26">
      <w:pPr>
        <w:pStyle w:val="ListParagraph"/>
        <w:rPr>
          <w:rFonts w:cstheme="minorHAnsi"/>
          <w:sz w:val="22"/>
          <w:szCs w:val="22"/>
        </w:rPr>
      </w:pPr>
    </w:p>
    <w:p w14:paraId="4EA4D604" w14:textId="6B9EE169" w:rsidR="00BC1D6F" w:rsidRPr="00BC1D6F" w:rsidRDefault="00BC1D6F" w:rsidP="002E4A2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C1D6F">
        <w:rPr>
          <w:rFonts w:cstheme="minorHAnsi"/>
          <w:sz w:val="22"/>
          <w:szCs w:val="22"/>
        </w:rPr>
        <w:t xml:space="preserve">Weaknesses in the trucking sector were at the heart of a </w:t>
      </w:r>
      <w:hyperlink r:id="rId9" w:history="1">
        <w:r w:rsidRPr="003C07A8">
          <w:rPr>
            <w:rStyle w:val="Hyperlink"/>
            <w:rFonts w:cstheme="minorHAnsi"/>
            <w:sz w:val="22"/>
            <w:szCs w:val="22"/>
          </w:rPr>
          <w:t>recent Midwest bank failure</w:t>
        </w:r>
      </w:hyperlink>
      <w:r w:rsidRPr="00BC1D6F">
        <w:rPr>
          <w:rFonts w:cstheme="minorHAnsi"/>
          <w:sz w:val="22"/>
          <w:szCs w:val="22"/>
        </w:rPr>
        <w:t>— the first credit quality</w:t>
      </w:r>
      <w:r w:rsidR="00715698">
        <w:rPr>
          <w:rFonts w:cstheme="minorHAnsi"/>
          <w:sz w:val="22"/>
          <w:szCs w:val="22"/>
        </w:rPr>
        <w:t xml:space="preserve"> </w:t>
      </w:r>
      <w:r w:rsidRPr="00BC1D6F">
        <w:rPr>
          <w:rFonts w:cstheme="minorHAnsi"/>
          <w:sz w:val="22"/>
          <w:szCs w:val="22"/>
        </w:rPr>
        <w:t xml:space="preserve">focused </w:t>
      </w:r>
      <w:r w:rsidR="00715698">
        <w:rPr>
          <w:rFonts w:cstheme="minorHAnsi"/>
          <w:sz w:val="22"/>
          <w:szCs w:val="22"/>
        </w:rPr>
        <w:t>closure i</w:t>
      </w:r>
      <w:r w:rsidRPr="00BC1D6F">
        <w:rPr>
          <w:rFonts w:cstheme="minorHAnsi"/>
          <w:sz w:val="22"/>
          <w:szCs w:val="22"/>
        </w:rPr>
        <w:t>n quite a while.</w:t>
      </w:r>
    </w:p>
    <w:p w14:paraId="24B329CD" w14:textId="77777777" w:rsidR="00BC1D6F" w:rsidRPr="00BC1D6F" w:rsidRDefault="00BC1D6F" w:rsidP="002E4A26">
      <w:pPr>
        <w:pStyle w:val="ListParagraph"/>
        <w:rPr>
          <w:rFonts w:cstheme="minorHAnsi"/>
          <w:sz w:val="22"/>
          <w:szCs w:val="22"/>
        </w:rPr>
      </w:pPr>
    </w:p>
    <w:p w14:paraId="085768DB" w14:textId="630708DE" w:rsidR="00BC1D6F" w:rsidRPr="00BC1D6F" w:rsidRDefault="00BC1D6F" w:rsidP="002E4A2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C1D6F">
        <w:rPr>
          <w:rFonts w:cstheme="minorHAnsi"/>
          <w:sz w:val="22"/>
          <w:szCs w:val="22"/>
        </w:rPr>
        <w:t xml:space="preserve">There’s a growing dichotomy between consumers living paycheck-to-paycheck (and running up credit card levels to historic heights) and those with strong balance sheets and investment resources. While this </w:t>
      </w:r>
      <w:r w:rsidR="00715698">
        <w:rPr>
          <w:rFonts w:cstheme="minorHAnsi"/>
          <w:sz w:val="22"/>
          <w:szCs w:val="22"/>
        </w:rPr>
        <w:t>issue may be primarily affecting the cr</w:t>
      </w:r>
      <w:r w:rsidRPr="00BC1D6F">
        <w:rPr>
          <w:rFonts w:cstheme="minorHAnsi"/>
          <w:sz w:val="22"/>
          <w:szCs w:val="22"/>
        </w:rPr>
        <w:t xml:space="preserve">edit union industry, </w:t>
      </w:r>
      <w:r w:rsidR="00715698">
        <w:rPr>
          <w:rFonts w:cstheme="minorHAnsi"/>
          <w:sz w:val="22"/>
          <w:szCs w:val="22"/>
        </w:rPr>
        <w:t>it could impact bank</w:t>
      </w:r>
      <w:r w:rsidRPr="00BC1D6F">
        <w:rPr>
          <w:rFonts w:cstheme="minorHAnsi"/>
          <w:sz w:val="22"/>
          <w:szCs w:val="22"/>
        </w:rPr>
        <w:t xml:space="preserve"> </w:t>
      </w:r>
      <w:r w:rsidR="00715698">
        <w:rPr>
          <w:rFonts w:cstheme="minorHAnsi"/>
          <w:sz w:val="22"/>
          <w:szCs w:val="22"/>
        </w:rPr>
        <w:t>performance as well</w:t>
      </w:r>
      <w:r w:rsidRPr="00BC1D6F">
        <w:rPr>
          <w:rFonts w:cstheme="minorHAnsi"/>
          <w:sz w:val="22"/>
          <w:szCs w:val="22"/>
        </w:rPr>
        <w:t xml:space="preserve">. </w:t>
      </w:r>
    </w:p>
    <w:p w14:paraId="1C5E42B2" w14:textId="77777777" w:rsidR="00BC1D6F" w:rsidRPr="00BC1D6F" w:rsidRDefault="00BC1D6F" w:rsidP="002E4A26">
      <w:pPr>
        <w:pStyle w:val="ListParagraph"/>
        <w:rPr>
          <w:rFonts w:cstheme="minorHAnsi"/>
          <w:sz w:val="22"/>
          <w:szCs w:val="22"/>
        </w:rPr>
      </w:pPr>
    </w:p>
    <w:p w14:paraId="673175C9" w14:textId="219F0089" w:rsidR="00BC1D6F" w:rsidRDefault="00BC1D6F" w:rsidP="00BC1D6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C1D6F">
        <w:rPr>
          <w:rFonts w:cstheme="minorHAnsi"/>
          <w:sz w:val="22"/>
          <w:szCs w:val="22"/>
        </w:rPr>
        <w:lastRenderedPageBreak/>
        <w:t xml:space="preserve">The below </w:t>
      </w:r>
      <w:r w:rsidR="00715698">
        <w:rPr>
          <w:rFonts w:cstheme="minorHAnsi"/>
          <w:sz w:val="22"/>
          <w:szCs w:val="22"/>
        </w:rPr>
        <w:t xml:space="preserve">chart of historical data </w:t>
      </w:r>
      <w:r w:rsidRPr="00BC1D6F">
        <w:rPr>
          <w:rFonts w:cstheme="minorHAnsi"/>
          <w:sz w:val="22"/>
          <w:szCs w:val="22"/>
        </w:rPr>
        <w:t xml:space="preserve">from the </w:t>
      </w:r>
      <w:hyperlink r:id="rId10" w:history="1">
        <w:r w:rsidRPr="002E4A26">
          <w:rPr>
            <w:rStyle w:val="Hyperlink"/>
            <w:rFonts w:cstheme="minorHAnsi"/>
            <w:i/>
            <w:iCs/>
            <w:sz w:val="22"/>
            <w:szCs w:val="22"/>
          </w:rPr>
          <w:t>QwickAnalytics® National Performance Trends Report</w:t>
        </w:r>
      </w:hyperlink>
      <w:r w:rsidRPr="00BC1D6F">
        <w:rPr>
          <w:rFonts w:cstheme="minorHAnsi"/>
          <w:sz w:val="22"/>
          <w:szCs w:val="22"/>
        </w:rPr>
        <w:t xml:space="preserve"> (based on the proprietary QwickAnalytics Community Bank Index (QCBI) of true community banks) clearly indicates </w:t>
      </w:r>
      <w:r w:rsidR="00715698">
        <w:rPr>
          <w:rFonts w:cstheme="minorHAnsi"/>
          <w:sz w:val="22"/>
          <w:szCs w:val="22"/>
        </w:rPr>
        <w:t>an</w:t>
      </w:r>
      <w:r w:rsidR="00715698" w:rsidRPr="00BC1D6F">
        <w:rPr>
          <w:rFonts w:cstheme="minorHAnsi"/>
          <w:sz w:val="22"/>
          <w:szCs w:val="22"/>
        </w:rPr>
        <w:t xml:space="preserve"> </w:t>
      </w:r>
      <w:r w:rsidRPr="00BC1D6F">
        <w:rPr>
          <w:rFonts w:cstheme="minorHAnsi"/>
          <w:sz w:val="22"/>
          <w:szCs w:val="22"/>
        </w:rPr>
        <w:t>approximate two-year lag between the end of rate hikes and the peak of non-performing loans</w:t>
      </w:r>
      <w:r w:rsidR="00715698">
        <w:rPr>
          <w:rFonts w:cstheme="minorHAnsi"/>
          <w:sz w:val="22"/>
          <w:szCs w:val="22"/>
        </w:rPr>
        <w:t xml:space="preserve"> (</w:t>
      </w:r>
      <w:r w:rsidR="00715698" w:rsidRPr="00BC1D6F">
        <w:rPr>
          <w:rFonts w:cstheme="minorHAnsi"/>
          <w:sz w:val="22"/>
          <w:szCs w:val="22"/>
        </w:rPr>
        <w:t>NPLs</w:t>
      </w:r>
      <w:r w:rsidRPr="00BC1D6F">
        <w:rPr>
          <w:rFonts w:cstheme="minorHAnsi"/>
          <w:sz w:val="22"/>
          <w:szCs w:val="22"/>
        </w:rPr>
        <w:t xml:space="preserve">). </w:t>
      </w:r>
      <w:r w:rsidRPr="002E4A26">
        <w:rPr>
          <w:rFonts w:cstheme="minorHAnsi"/>
          <w:b/>
          <w:bCs/>
          <w:sz w:val="22"/>
          <w:szCs w:val="22"/>
        </w:rPr>
        <w:t>This may be the most telling data supporting the continuing need for credit risk management vigilance!</w:t>
      </w:r>
      <w:r w:rsidRPr="00BC1D6F">
        <w:rPr>
          <w:rFonts w:cstheme="minorHAnsi"/>
          <w:sz w:val="22"/>
          <w:szCs w:val="22"/>
        </w:rPr>
        <w:t xml:space="preserve">  </w:t>
      </w:r>
    </w:p>
    <w:p w14:paraId="6F809907" w14:textId="77777777" w:rsidR="00CD19C6" w:rsidRPr="00CD19C6" w:rsidRDefault="00CD19C6" w:rsidP="00CD19C6">
      <w:pPr>
        <w:ind w:left="360"/>
        <w:rPr>
          <w:rFonts w:cstheme="minorHAnsi"/>
          <w:sz w:val="22"/>
          <w:szCs w:val="22"/>
        </w:rPr>
      </w:pPr>
    </w:p>
    <w:p w14:paraId="337B88CC" w14:textId="77777777" w:rsidR="002E4A26" w:rsidRDefault="002E4A26" w:rsidP="00CD19C6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601C42D6" wp14:editId="373D0653">
            <wp:extent cx="6045693" cy="2979438"/>
            <wp:effectExtent l="0" t="0" r="0" b="5080"/>
            <wp:docPr id="15445825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582536" name="Picture 154458253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6"/>
                    <a:stretch/>
                  </pic:blipFill>
                  <pic:spPr bwMode="auto">
                    <a:xfrm>
                      <a:off x="0" y="0"/>
                      <a:ext cx="6164381" cy="303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BB920" w14:textId="77777777" w:rsidR="00BC1D6F" w:rsidRPr="00BC1D6F" w:rsidRDefault="00BC1D6F" w:rsidP="00BC1D6F">
      <w:pPr>
        <w:rPr>
          <w:rFonts w:cstheme="minorHAnsi"/>
          <w:sz w:val="22"/>
          <w:szCs w:val="22"/>
        </w:rPr>
      </w:pPr>
    </w:p>
    <w:p w14:paraId="7F39D13F" w14:textId="77777777" w:rsidR="00BC1D6F" w:rsidRPr="002E776F" w:rsidRDefault="00BC1D6F" w:rsidP="00BC1D6F">
      <w:pPr>
        <w:rPr>
          <w:rFonts w:cstheme="minorHAnsi"/>
          <w:b/>
          <w:bCs/>
          <w:sz w:val="22"/>
          <w:szCs w:val="22"/>
        </w:rPr>
      </w:pPr>
      <w:r w:rsidRPr="002E776F">
        <w:rPr>
          <w:rFonts w:cstheme="minorHAnsi"/>
          <w:b/>
          <w:bCs/>
          <w:sz w:val="22"/>
          <w:szCs w:val="22"/>
        </w:rPr>
        <w:t>The Now</w:t>
      </w:r>
    </w:p>
    <w:p w14:paraId="681D48CF" w14:textId="77777777" w:rsidR="00B85B87" w:rsidRDefault="00B85B87" w:rsidP="00BC1D6F">
      <w:pPr>
        <w:rPr>
          <w:rFonts w:cstheme="minorHAnsi"/>
          <w:sz w:val="22"/>
          <w:szCs w:val="22"/>
        </w:rPr>
      </w:pPr>
    </w:p>
    <w:p w14:paraId="467F0ED5" w14:textId="2E23D4DA" w:rsidR="00BC1D6F" w:rsidRDefault="00715698" w:rsidP="00BC1D6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It’s clear that, g</w:t>
      </w:r>
      <w:r w:rsidR="00BC1D6F" w:rsidRPr="00BC1D6F">
        <w:rPr>
          <w:rFonts w:cstheme="minorHAnsi"/>
          <w:sz w:val="22"/>
          <w:szCs w:val="22"/>
        </w:rPr>
        <w:t xml:space="preserve">iven all of the data listed above, those directly responsible for your bank’s credit portfolio performance must </w:t>
      </w:r>
      <w:r>
        <w:rPr>
          <w:rFonts w:cstheme="minorHAnsi"/>
          <w:sz w:val="22"/>
          <w:szCs w:val="22"/>
        </w:rPr>
        <w:t xml:space="preserve">stay </w:t>
      </w:r>
      <w:r w:rsidR="00BC1D6F" w:rsidRPr="00BC1D6F">
        <w:rPr>
          <w:rFonts w:cstheme="minorHAnsi"/>
          <w:sz w:val="22"/>
          <w:szCs w:val="22"/>
        </w:rPr>
        <w:t>vigilan</w:t>
      </w:r>
      <w:r>
        <w:rPr>
          <w:rFonts w:cstheme="minorHAnsi"/>
          <w:sz w:val="22"/>
          <w:szCs w:val="22"/>
        </w:rPr>
        <w:t xml:space="preserve">t. Consider </w:t>
      </w:r>
      <w:r w:rsidR="003C07A8">
        <w:rPr>
          <w:rFonts w:cstheme="minorHAnsi"/>
          <w:sz w:val="22"/>
          <w:szCs w:val="22"/>
        </w:rPr>
        <w:t>directing attention to these key areas:</w:t>
      </w:r>
    </w:p>
    <w:p w14:paraId="1368CEDC" w14:textId="77777777" w:rsidR="00B85B87" w:rsidRPr="00BC1D6F" w:rsidRDefault="00B85B87" w:rsidP="00BC1D6F">
      <w:pPr>
        <w:rPr>
          <w:rFonts w:cstheme="minorHAnsi"/>
          <w:sz w:val="22"/>
          <w:szCs w:val="22"/>
        </w:rPr>
      </w:pPr>
    </w:p>
    <w:p w14:paraId="36D47A5B" w14:textId="2FA98092" w:rsidR="00BC1D6F" w:rsidRDefault="00BC1D6F" w:rsidP="001D272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1D2723">
        <w:rPr>
          <w:rFonts w:cstheme="minorHAnsi"/>
          <w:b/>
          <w:bCs/>
          <w:sz w:val="22"/>
          <w:szCs w:val="22"/>
        </w:rPr>
        <w:t>Accept that regulatory scrutiny is increasing significantly</w:t>
      </w:r>
      <w:r w:rsidRPr="00BC1D6F">
        <w:rPr>
          <w:rFonts w:cstheme="minorHAnsi"/>
          <w:sz w:val="22"/>
          <w:szCs w:val="22"/>
        </w:rPr>
        <w:t xml:space="preserve">, particularly in the CRE arena. Be sure to reinforce your adherence to both the December 2006 </w:t>
      </w:r>
      <w:r w:rsidRPr="001D2723">
        <w:rPr>
          <w:rFonts w:cstheme="minorHAnsi"/>
          <w:i/>
          <w:iCs/>
          <w:sz w:val="22"/>
          <w:szCs w:val="22"/>
        </w:rPr>
        <w:t>Interagency Guidance on CRE Concentrations</w:t>
      </w:r>
      <w:r w:rsidRPr="00BC1D6F">
        <w:rPr>
          <w:rFonts w:cstheme="minorHAnsi"/>
          <w:sz w:val="22"/>
          <w:szCs w:val="22"/>
        </w:rPr>
        <w:t xml:space="preserve"> (</w:t>
      </w:r>
      <w:hyperlink r:id="rId12" w:history="1">
        <w:r w:rsidRPr="003C07A8">
          <w:rPr>
            <w:rStyle w:val="Hyperlink"/>
            <w:rFonts w:cstheme="minorHAnsi"/>
            <w:sz w:val="22"/>
            <w:szCs w:val="22"/>
          </w:rPr>
          <w:t>Fed SR7-1</w:t>
        </w:r>
      </w:hyperlink>
      <w:r w:rsidRPr="00BC1D6F">
        <w:rPr>
          <w:rFonts w:cstheme="minorHAnsi"/>
          <w:sz w:val="22"/>
          <w:szCs w:val="22"/>
        </w:rPr>
        <w:t xml:space="preserve">) and the more recent June 2023 </w:t>
      </w:r>
      <w:r w:rsidRPr="001D2723">
        <w:rPr>
          <w:rFonts w:cstheme="minorHAnsi"/>
          <w:i/>
          <w:iCs/>
          <w:sz w:val="22"/>
          <w:szCs w:val="22"/>
        </w:rPr>
        <w:t>Prudent CRE Loan Accommodations and Workouts</w:t>
      </w:r>
      <w:r w:rsidRPr="00BC1D6F">
        <w:rPr>
          <w:rFonts w:cstheme="minorHAnsi"/>
          <w:sz w:val="22"/>
          <w:szCs w:val="22"/>
        </w:rPr>
        <w:t xml:space="preserve"> (</w:t>
      </w:r>
      <w:hyperlink r:id="rId13" w:history="1">
        <w:r w:rsidRPr="003C07A8">
          <w:rPr>
            <w:rStyle w:val="Hyperlink"/>
            <w:rFonts w:cstheme="minorHAnsi"/>
            <w:sz w:val="22"/>
            <w:szCs w:val="22"/>
          </w:rPr>
          <w:t>Fed SR23-5</w:t>
        </w:r>
      </w:hyperlink>
      <w:r w:rsidRPr="00BC1D6F">
        <w:rPr>
          <w:rFonts w:cstheme="minorHAnsi"/>
          <w:sz w:val="22"/>
          <w:szCs w:val="22"/>
        </w:rPr>
        <w:t xml:space="preserve">). Be proactive in anticipating CRE repricing and performance, monitoring concentrations unique to your bank, and </w:t>
      </w:r>
      <w:r w:rsidR="003C07A8">
        <w:rPr>
          <w:rFonts w:cstheme="minorHAnsi"/>
          <w:sz w:val="22"/>
          <w:szCs w:val="22"/>
        </w:rPr>
        <w:t xml:space="preserve">ensure that </w:t>
      </w:r>
      <w:r w:rsidRPr="00BC1D6F">
        <w:rPr>
          <w:rFonts w:cstheme="minorHAnsi"/>
          <w:sz w:val="22"/>
          <w:szCs w:val="22"/>
        </w:rPr>
        <w:t xml:space="preserve">management and the board fully informed. </w:t>
      </w:r>
    </w:p>
    <w:p w14:paraId="1066C3E3" w14:textId="77777777" w:rsidR="001D2723" w:rsidRPr="00BC1D6F" w:rsidRDefault="001D2723" w:rsidP="001D2723">
      <w:pPr>
        <w:pStyle w:val="ListParagraph"/>
        <w:rPr>
          <w:rFonts w:cstheme="minorHAnsi"/>
          <w:sz w:val="22"/>
          <w:szCs w:val="22"/>
        </w:rPr>
      </w:pPr>
    </w:p>
    <w:p w14:paraId="5175923D" w14:textId="29BF0C4C" w:rsidR="00BC1D6F" w:rsidRPr="00BC1D6F" w:rsidRDefault="00BC1D6F" w:rsidP="001D272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1D2723">
        <w:rPr>
          <w:rFonts w:cstheme="minorHAnsi"/>
          <w:b/>
          <w:bCs/>
          <w:sz w:val="22"/>
          <w:szCs w:val="22"/>
        </w:rPr>
        <w:t>Enhance all aspects of loan review</w:t>
      </w:r>
      <w:r w:rsidRPr="00BC1D6F">
        <w:rPr>
          <w:rFonts w:cstheme="minorHAnsi"/>
          <w:sz w:val="22"/>
          <w:szCs w:val="22"/>
        </w:rPr>
        <w:t>—whether performed internally (annually) or by an external independent provider—and ensure the quality and experience levels of those performing the reviews</w:t>
      </w:r>
      <w:r w:rsidR="003C07A8">
        <w:rPr>
          <w:rFonts w:cstheme="minorHAnsi"/>
          <w:sz w:val="22"/>
          <w:szCs w:val="22"/>
        </w:rPr>
        <w:t xml:space="preserve"> are up to the task</w:t>
      </w:r>
      <w:r w:rsidRPr="00BC1D6F">
        <w:rPr>
          <w:rFonts w:cstheme="minorHAnsi"/>
          <w:sz w:val="22"/>
          <w:szCs w:val="22"/>
        </w:rPr>
        <w:t xml:space="preserve">. Remember, loan review is one of the most reliable </w:t>
      </w:r>
      <w:r w:rsidR="003C07A8">
        <w:rPr>
          <w:rFonts w:cstheme="minorHAnsi"/>
          <w:sz w:val="22"/>
          <w:szCs w:val="22"/>
        </w:rPr>
        <w:t>tools for</w:t>
      </w:r>
      <w:r w:rsidRPr="00BC1D6F">
        <w:rPr>
          <w:rFonts w:cstheme="minorHAnsi"/>
          <w:sz w:val="22"/>
          <w:szCs w:val="22"/>
        </w:rPr>
        <w:t xml:space="preserve"> early detection of credit risk—a proven corollary to reduced loan losses.   </w:t>
      </w:r>
    </w:p>
    <w:p w14:paraId="2677FF89" w14:textId="77777777" w:rsidR="00BC1D6F" w:rsidRPr="00BC1D6F" w:rsidRDefault="00BC1D6F" w:rsidP="001D2723">
      <w:pPr>
        <w:pStyle w:val="ListParagraph"/>
        <w:rPr>
          <w:rFonts w:cstheme="minorHAnsi"/>
          <w:sz w:val="22"/>
          <w:szCs w:val="22"/>
        </w:rPr>
      </w:pPr>
    </w:p>
    <w:p w14:paraId="6492E849" w14:textId="047C5FEF" w:rsidR="00BC1D6F" w:rsidRPr="00BC1D6F" w:rsidRDefault="00BC1D6F" w:rsidP="001D272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1D2723">
        <w:rPr>
          <w:rFonts w:cstheme="minorHAnsi"/>
          <w:b/>
          <w:bCs/>
          <w:sz w:val="22"/>
          <w:szCs w:val="22"/>
        </w:rPr>
        <w:t>Perform stress tests</w:t>
      </w:r>
      <w:r w:rsidR="003C07A8">
        <w:rPr>
          <w:rFonts w:cstheme="minorHAnsi"/>
          <w:b/>
          <w:bCs/>
          <w:sz w:val="22"/>
          <w:szCs w:val="22"/>
        </w:rPr>
        <w:t xml:space="preserve">, </w:t>
      </w:r>
      <w:r w:rsidRPr="001D2723">
        <w:rPr>
          <w:rFonts w:cstheme="minorHAnsi"/>
          <w:b/>
          <w:bCs/>
          <w:sz w:val="22"/>
          <w:szCs w:val="22"/>
        </w:rPr>
        <w:t xml:space="preserve">preferably </w:t>
      </w:r>
      <w:r w:rsidR="003C07A8">
        <w:rPr>
          <w:rFonts w:cstheme="minorHAnsi"/>
          <w:b/>
          <w:bCs/>
          <w:sz w:val="22"/>
          <w:szCs w:val="22"/>
        </w:rPr>
        <w:t>paired</w:t>
      </w:r>
      <w:r w:rsidRPr="001D2723">
        <w:rPr>
          <w:rFonts w:cstheme="minorHAnsi"/>
          <w:b/>
          <w:bCs/>
          <w:sz w:val="22"/>
          <w:szCs w:val="22"/>
        </w:rPr>
        <w:t xml:space="preserve"> with loan reviews</w:t>
      </w:r>
      <w:r w:rsidR="00FF4770">
        <w:rPr>
          <w:rFonts w:cstheme="minorHAnsi"/>
          <w:b/>
          <w:bCs/>
          <w:sz w:val="22"/>
          <w:szCs w:val="22"/>
        </w:rPr>
        <w:t>,</w:t>
      </w:r>
      <w:r w:rsidRPr="00BC1D6F">
        <w:rPr>
          <w:rFonts w:cstheme="minorHAnsi"/>
          <w:sz w:val="22"/>
          <w:szCs w:val="22"/>
        </w:rPr>
        <w:t xml:space="preserve"> that go beyond providing theoretical losses</w:t>
      </w:r>
      <w:r w:rsidR="003C07A8">
        <w:rPr>
          <w:rFonts w:cstheme="minorHAnsi"/>
          <w:sz w:val="22"/>
          <w:szCs w:val="22"/>
        </w:rPr>
        <w:t>. A</w:t>
      </w:r>
      <w:r w:rsidRPr="00BC1D6F">
        <w:rPr>
          <w:rFonts w:cstheme="minorHAnsi"/>
          <w:sz w:val="22"/>
          <w:szCs w:val="22"/>
        </w:rPr>
        <w:t>lso</w:t>
      </w:r>
      <w:r w:rsidR="003C07A8">
        <w:rPr>
          <w:rFonts w:cstheme="minorHAnsi"/>
          <w:sz w:val="22"/>
          <w:szCs w:val="22"/>
        </w:rPr>
        <w:t>,</w:t>
      </w:r>
      <w:r w:rsidRPr="00BC1D6F">
        <w:rPr>
          <w:rFonts w:cstheme="minorHAnsi"/>
          <w:sz w:val="22"/>
          <w:szCs w:val="22"/>
        </w:rPr>
        <w:t xml:space="preserve"> focus on suspect borrowers who could potentially move the needle</w:t>
      </w:r>
      <w:r w:rsidR="003C07A8" w:rsidRPr="003C07A8">
        <w:rPr>
          <w:rFonts w:cstheme="minorHAnsi"/>
          <w:sz w:val="22"/>
          <w:szCs w:val="22"/>
        </w:rPr>
        <w:t xml:space="preserve"> </w:t>
      </w:r>
      <w:r w:rsidR="003C07A8">
        <w:rPr>
          <w:rFonts w:cstheme="minorHAnsi"/>
          <w:sz w:val="22"/>
          <w:szCs w:val="22"/>
        </w:rPr>
        <w:t xml:space="preserve">on </w:t>
      </w:r>
      <w:r w:rsidR="003C07A8" w:rsidRPr="00BC1D6F">
        <w:rPr>
          <w:rFonts w:cstheme="minorHAnsi"/>
          <w:sz w:val="22"/>
          <w:szCs w:val="22"/>
        </w:rPr>
        <w:t>losses</w:t>
      </w:r>
      <w:r w:rsidR="003C07A8">
        <w:rPr>
          <w:rFonts w:cstheme="minorHAnsi"/>
          <w:sz w:val="22"/>
          <w:szCs w:val="22"/>
        </w:rPr>
        <w:t xml:space="preserve"> higher</w:t>
      </w:r>
      <w:r w:rsidRPr="00BC1D6F">
        <w:rPr>
          <w:rFonts w:cstheme="minorHAnsi"/>
          <w:sz w:val="22"/>
          <w:szCs w:val="22"/>
        </w:rPr>
        <w:t xml:space="preserve">.   </w:t>
      </w:r>
    </w:p>
    <w:p w14:paraId="72E6173A" w14:textId="77777777" w:rsidR="00BC1D6F" w:rsidRPr="00BC1D6F" w:rsidRDefault="00BC1D6F" w:rsidP="00BC1D6F">
      <w:pPr>
        <w:rPr>
          <w:rFonts w:cstheme="minorHAnsi"/>
          <w:sz w:val="22"/>
          <w:szCs w:val="22"/>
        </w:rPr>
      </w:pPr>
    </w:p>
    <w:p w14:paraId="0015FCB1" w14:textId="71120235" w:rsidR="00BC1D6F" w:rsidRDefault="00BC1D6F" w:rsidP="001D272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1D2723">
        <w:rPr>
          <w:rFonts w:cstheme="minorHAnsi"/>
          <w:b/>
          <w:bCs/>
          <w:sz w:val="22"/>
          <w:szCs w:val="22"/>
        </w:rPr>
        <w:t>Embrace practical and affordable portfolio analy</w:t>
      </w:r>
      <w:r w:rsidR="003C07A8">
        <w:rPr>
          <w:rFonts w:cstheme="minorHAnsi"/>
          <w:b/>
          <w:bCs/>
          <w:sz w:val="22"/>
          <w:szCs w:val="22"/>
        </w:rPr>
        <w:t>sis</w:t>
      </w:r>
      <w:r w:rsidRPr="001D2723">
        <w:rPr>
          <w:rFonts w:cstheme="minorHAnsi"/>
          <w:b/>
          <w:bCs/>
          <w:sz w:val="22"/>
          <w:szCs w:val="22"/>
        </w:rPr>
        <w:t xml:space="preserve"> tools that provide early detection</w:t>
      </w:r>
      <w:r w:rsidRPr="00FB484F">
        <w:rPr>
          <w:rFonts w:cstheme="minorHAnsi"/>
          <w:sz w:val="22"/>
          <w:szCs w:val="22"/>
        </w:rPr>
        <w:t xml:space="preserve"> of</w:t>
      </w:r>
      <w:r w:rsidRPr="003C07A8">
        <w:rPr>
          <w:rFonts w:cstheme="minorHAnsi"/>
          <w:sz w:val="22"/>
          <w:szCs w:val="22"/>
        </w:rPr>
        <w:t xml:space="preserve"> </w:t>
      </w:r>
      <w:r w:rsidRPr="00BC1D6F">
        <w:rPr>
          <w:rFonts w:cstheme="minorHAnsi"/>
          <w:sz w:val="22"/>
          <w:szCs w:val="22"/>
        </w:rPr>
        <w:t xml:space="preserve">weakening trends and emerging hotspots, particularly within your bank’s lending concentrations. </w:t>
      </w:r>
      <w:r w:rsidRPr="00BC1D6F">
        <w:rPr>
          <w:rFonts w:cstheme="minorHAnsi"/>
          <w:sz w:val="22"/>
          <w:szCs w:val="22"/>
        </w:rPr>
        <w:lastRenderedPageBreak/>
        <w:t xml:space="preserve">Your loan portfolio is your DNA, so know what it is telling you before regulators arrive. Smaller banks remain laggards in this area. </w:t>
      </w:r>
      <w:r w:rsidR="003C07A8">
        <w:rPr>
          <w:rFonts w:cstheme="minorHAnsi"/>
          <w:sz w:val="22"/>
          <w:szCs w:val="22"/>
        </w:rPr>
        <w:t>Waiting for</w:t>
      </w:r>
      <w:r w:rsidR="003C07A8" w:rsidRPr="00BC1D6F">
        <w:rPr>
          <w:rFonts w:cstheme="minorHAnsi"/>
          <w:sz w:val="22"/>
          <w:szCs w:val="22"/>
        </w:rPr>
        <w:t xml:space="preserve"> </w:t>
      </w:r>
      <w:r w:rsidRPr="00BC1D6F">
        <w:rPr>
          <w:rFonts w:cstheme="minorHAnsi"/>
          <w:sz w:val="22"/>
          <w:szCs w:val="22"/>
        </w:rPr>
        <w:t xml:space="preserve">call report </w:t>
      </w:r>
      <w:r w:rsidR="003C07A8">
        <w:rPr>
          <w:rFonts w:cstheme="minorHAnsi"/>
          <w:sz w:val="22"/>
          <w:szCs w:val="22"/>
        </w:rPr>
        <w:t>data</w:t>
      </w:r>
      <w:r w:rsidR="003C07A8" w:rsidRPr="00BC1D6F">
        <w:rPr>
          <w:rFonts w:cstheme="minorHAnsi"/>
          <w:sz w:val="22"/>
          <w:szCs w:val="22"/>
        </w:rPr>
        <w:t xml:space="preserve"> </w:t>
      </w:r>
      <w:r w:rsidRPr="00BC1D6F">
        <w:rPr>
          <w:rFonts w:cstheme="minorHAnsi"/>
          <w:sz w:val="22"/>
          <w:szCs w:val="22"/>
        </w:rPr>
        <w:t xml:space="preserve">to depict loan quality is a fool’s errand, because as they say, “Those horses are already out of the barn.”   </w:t>
      </w:r>
    </w:p>
    <w:p w14:paraId="668BC613" w14:textId="77777777" w:rsidR="001D2723" w:rsidRPr="00BC1D6F" w:rsidRDefault="001D2723" w:rsidP="001D2723">
      <w:pPr>
        <w:pStyle w:val="ListParagraph"/>
        <w:rPr>
          <w:rFonts w:cstheme="minorHAnsi"/>
          <w:sz w:val="22"/>
          <w:szCs w:val="22"/>
        </w:rPr>
      </w:pPr>
    </w:p>
    <w:p w14:paraId="1B3AB474" w14:textId="0E230CB9" w:rsidR="00BC1D6F" w:rsidRDefault="00BC1D6F" w:rsidP="00BC1D6F">
      <w:pPr>
        <w:rPr>
          <w:rFonts w:cstheme="minorHAnsi"/>
          <w:sz w:val="22"/>
          <w:szCs w:val="22"/>
        </w:rPr>
      </w:pPr>
      <w:r w:rsidRPr="00BC1D6F">
        <w:rPr>
          <w:rFonts w:cstheme="minorHAnsi"/>
          <w:sz w:val="22"/>
          <w:szCs w:val="22"/>
        </w:rPr>
        <w:t>We all join in the optimism of the lending officer ready to put recession fears behind them, but history</w:t>
      </w:r>
      <w:r w:rsidR="00FF4770">
        <w:rPr>
          <w:rFonts w:cstheme="minorHAnsi"/>
          <w:sz w:val="22"/>
          <w:szCs w:val="22"/>
        </w:rPr>
        <w:t xml:space="preserve"> </w:t>
      </w:r>
      <w:r w:rsidRPr="00BC1D6F">
        <w:rPr>
          <w:rFonts w:cstheme="minorHAnsi"/>
          <w:sz w:val="22"/>
          <w:szCs w:val="22"/>
        </w:rPr>
        <w:t>and current conditions</w:t>
      </w:r>
      <w:r w:rsidR="00FF4770">
        <w:rPr>
          <w:rFonts w:cstheme="minorHAnsi"/>
          <w:sz w:val="22"/>
          <w:szCs w:val="22"/>
        </w:rPr>
        <w:t xml:space="preserve"> </w:t>
      </w:r>
      <w:r w:rsidRPr="00BC1D6F">
        <w:rPr>
          <w:rFonts w:cstheme="minorHAnsi"/>
          <w:sz w:val="22"/>
          <w:szCs w:val="22"/>
        </w:rPr>
        <w:t xml:space="preserve">mandate that </w:t>
      </w:r>
      <w:r w:rsidR="003C07A8">
        <w:rPr>
          <w:rFonts w:cstheme="minorHAnsi"/>
          <w:sz w:val="22"/>
          <w:szCs w:val="22"/>
        </w:rPr>
        <w:t xml:space="preserve">the </w:t>
      </w:r>
      <w:r w:rsidRPr="00BC1D6F">
        <w:rPr>
          <w:rFonts w:cstheme="minorHAnsi"/>
          <w:sz w:val="22"/>
          <w:szCs w:val="22"/>
        </w:rPr>
        <w:t xml:space="preserve">industry keep its guard up </w:t>
      </w:r>
      <w:r w:rsidR="00FF4770">
        <w:rPr>
          <w:rFonts w:cstheme="minorHAnsi"/>
          <w:sz w:val="22"/>
          <w:szCs w:val="22"/>
        </w:rPr>
        <w:t>and manage</w:t>
      </w:r>
      <w:r w:rsidRPr="00BC1D6F">
        <w:rPr>
          <w:rFonts w:cstheme="minorHAnsi"/>
          <w:sz w:val="22"/>
          <w:szCs w:val="22"/>
        </w:rPr>
        <w:t xml:space="preserve"> what appears </w:t>
      </w:r>
      <w:r w:rsidR="003C07A8">
        <w:rPr>
          <w:rFonts w:cstheme="minorHAnsi"/>
          <w:sz w:val="22"/>
          <w:szCs w:val="22"/>
        </w:rPr>
        <w:t xml:space="preserve">poised </w:t>
      </w:r>
      <w:r w:rsidRPr="00BC1D6F">
        <w:rPr>
          <w:rFonts w:cstheme="minorHAnsi"/>
          <w:sz w:val="22"/>
          <w:szCs w:val="22"/>
        </w:rPr>
        <w:t>to be the greatest level of credit stress since 2008’s Great Recession.</w:t>
      </w:r>
    </w:p>
    <w:p w14:paraId="36297652" w14:textId="77777777" w:rsidR="001D2723" w:rsidRPr="00BC1D6F" w:rsidRDefault="001D2723" w:rsidP="00BC1D6F">
      <w:pPr>
        <w:rPr>
          <w:rFonts w:cstheme="minorHAnsi"/>
          <w:sz w:val="22"/>
          <w:szCs w:val="22"/>
        </w:rPr>
      </w:pPr>
    </w:p>
    <w:p w14:paraId="6FACF9C2" w14:textId="77777777" w:rsidR="00BC1D6F" w:rsidRPr="001D2723" w:rsidRDefault="00BC1D6F" w:rsidP="00BC1D6F">
      <w:pPr>
        <w:rPr>
          <w:rFonts w:cstheme="minorHAnsi"/>
          <w:sz w:val="18"/>
          <w:szCs w:val="18"/>
        </w:rPr>
      </w:pPr>
      <w:r w:rsidRPr="001D2723">
        <w:rPr>
          <w:rFonts w:cstheme="minorHAnsi"/>
          <w:i/>
          <w:iCs/>
          <w:sz w:val="18"/>
          <w:szCs w:val="18"/>
        </w:rPr>
        <w:t xml:space="preserve">David Ruffin is Principal of IntelliCredit, a division of QwickRate. He has extensive experience in the financial industry including a long and pronounced emphasis on credit risk in a variety of roles that range from bank lender and senior credit officer to the co-founder of IntelliCredit and its technology that is revolutionizing a decades-old loan review process. For more information, visit </w:t>
      </w:r>
      <w:hyperlink r:id="rId14" w:history="1">
        <w:r w:rsidRPr="001D2723">
          <w:rPr>
            <w:rStyle w:val="Hyperlink"/>
            <w:rFonts w:cstheme="minorHAnsi"/>
            <w:i/>
            <w:iCs/>
            <w:sz w:val="18"/>
            <w:szCs w:val="18"/>
          </w:rPr>
          <w:t>intellicredit.com</w:t>
        </w:r>
      </w:hyperlink>
      <w:r w:rsidRPr="001D2723">
        <w:rPr>
          <w:rFonts w:cstheme="minorHAnsi"/>
          <w:i/>
          <w:iCs/>
          <w:sz w:val="18"/>
          <w:szCs w:val="18"/>
        </w:rPr>
        <w:t xml:space="preserve"> or email </w:t>
      </w:r>
      <w:hyperlink r:id="rId15" w:history="1">
        <w:r w:rsidRPr="001D2723">
          <w:rPr>
            <w:rStyle w:val="Hyperlink"/>
            <w:rFonts w:cstheme="minorHAnsi"/>
            <w:i/>
            <w:iCs/>
            <w:sz w:val="18"/>
            <w:szCs w:val="18"/>
          </w:rPr>
          <w:t>info@intellicredit.com</w:t>
        </w:r>
      </w:hyperlink>
      <w:r w:rsidRPr="001D2723">
        <w:rPr>
          <w:rFonts w:cstheme="minorHAnsi"/>
          <w:sz w:val="18"/>
          <w:szCs w:val="18"/>
        </w:rPr>
        <w:t>.</w:t>
      </w:r>
    </w:p>
    <w:p w14:paraId="59F67CBD" w14:textId="77777777" w:rsidR="004773B3" w:rsidRPr="00BC1D6F" w:rsidRDefault="004773B3">
      <w:pPr>
        <w:rPr>
          <w:rFonts w:cstheme="minorHAnsi"/>
          <w:sz w:val="22"/>
          <w:szCs w:val="22"/>
        </w:rPr>
      </w:pPr>
    </w:p>
    <w:sectPr w:rsidR="004773B3" w:rsidRPr="00BC1D6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AF46" w14:textId="77777777" w:rsidR="00056114" w:rsidRDefault="00056114" w:rsidP="00BC1D6F">
      <w:r>
        <w:separator/>
      </w:r>
    </w:p>
  </w:endnote>
  <w:endnote w:type="continuationSeparator" w:id="0">
    <w:p w14:paraId="6887F3CA" w14:textId="77777777" w:rsidR="00056114" w:rsidRDefault="00056114" w:rsidP="00BC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FF6E" w14:textId="77777777" w:rsidR="00056114" w:rsidRDefault="00056114" w:rsidP="00BC1D6F">
      <w:r>
        <w:separator/>
      </w:r>
    </w:p>
  </w:footnote>
  <w:footnote w:type="continuationSeparator" w:id="0">
    <w:p w14:paraId="001B29CC" w14:textId="77777777" w:rsidR="00056114" w:rsidRDefault="00056114" w:rsidP="00BC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F7F2" w14:textId="77777777" w:rsidR="00BC1D6F" w:rsidRDefault="00BC1D6F" w:rsidP="00BC1D6F">
    <w:pPr>
      <w:pStyle w:val="Header"/>
      <w:jc w:val="right"/>
      <w:rPr>
        <w:sz w:val="20"/>
        <w:szCs w:val="20"/>
      </w:rPr>
    </w:pPr>
    <w:r w:rsidRPr="00BC1D6F">
      <w:rPr>
        <w:sz w:val="20"/>
        <w:szCs w:val="20"/>
      </w:rPr>
      <w:t>INTELLICREDIT</w:t>
    </w:r>
  </w:p>
  <w:p w14:paraId="0F8FA3EF" w14:textId="77777777" w:rsidR="00BC1D6F" w:rsidRPr="00BC1D6F" w:rsidRDefault="00BC1D6F" w:rsidP="00BC1D6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Article Submission</w:t>
    </w:r>
  </w:p>
  <w:p w14:paraId="1490B0F7" w14:textId="63BA2382" w:rsidR="00BC1D6F" w:rsidRPr="00BC1D6F" w:rsidRDefault="00BC1D6F" w:rsidP="00BC1D6F">
    <w:pPr>
      <w:pStyle w:val="Header"/>
      <w:jc w:val="right"/>
      <w:rPr>
        <w:sz w:val="20"/>
        <w:szCs w:val="20"/>
      </w:rPr>
    </w:pPr>
    <w:r w:rsidRPr="00BC1D6F">
      <w:rPr>
        <w:sz w:val="20"/>
        <w:szCs w:val="20"/>
      </w:rPr>
      <w:t>0</w:t>
    </w:r>
    <w:r w:rsidR="005D4C79">
      <w:rPr>
        <w:sz w:val="20"/>
        <w:szCs w:val="20"/>
      </w:rPr>
      <w:t>2</w:t>
    </w:r>
    <w:r w:rsidRPr="00BC1D6F">
      <w:rPr>
        <w:sz w:val="20"/>
        <w:szCs w:val="20"/>
      </w:rPr>
      <w:t>-</w:t>
    </w:r>
    <w:r w:rsidR="005D4C79">
      <w:rPr>
        <w:sz w:val="20"/>
        <w:szCs w:val="20"/>
      </w:rPr>
      <w:t>1</w:t>
    </w:r>
    <w:r w:rsidR="00065EC0">
      <w:rPr>
        <w:sz w:val="20"/>
        <w:szCs w:val="20"/>
      </w:rPr>
      <w:t>5</w:t>
    </w:r>
    <w:r w:rsidRPr="00BC1D6F">
      <w:rPr>
        <w:sz w:val="20"/>
        <w:szCs w:val="20"/>
      </w:rPr>
      <w:t>-2024</w:t>
    </w:r>
  </w:p>
  <w:p w14:paraId="0DE1A7FF" w14:textId="77777777" w:rsidR="00BC1D6F" w:rsidRDefault="00BC1D6F" w:rsidP="00BC1D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2A12"/>
    <w:multiLevelType w:val="hybridMultilevel"/>
    <w:tmpl w:val="544088EC"/>
    <w:lvl w:ilvl="0" w:tplc="9CE8F644">
      <w:numFmt w:val="bullet"/>
      <w:lvlText w:val="•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7C81"/>
    <w:multiLevelType w:val="hybridMultilevel"/>
    <w:tmpl w:val="6A70A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1F5"/>
    <w:multiLevelType w:val="multilevel"/>
    <w:tmpl w:val="A6186A3E"/>
    <w:styleLink w:val="CurrentList1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1640D"/>
    <w:multiLevelType w:val="hybridMultilevel"/>
    <w:tmpl w:val="A6186A3E"/>
    <w:lvl w:ilvl="0" w:tplc="C3507B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87099">
    <w:abstractNumId w:val="1"/>
  </w:num>
  <w:num w:numId="2" w16cid:durableId="770664960">
    <w:abstractNumId w:val="3"/>
  </w:num>
  <w:num w:numId="3" w16cid:durableId="1353996142">
    <w:abstractNumId w:val="2"/>
  </w:num>
  <w:num w:numId="4" w16cid:durableId="86279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6F"/>
    <w:rsid w:val="00056114"/>
    <w:rsid w:val="00065EC0"/>
    <w:rsid w:val="00185277"/>
    <w:rsid w:val="001D2723"/>
    <w:rsid w:val="002E4A26"/>
    <w:rsid w:val="002E776F"/>
    <w:rsid w:val="003651AE"/>
    <w:rsid w:val="003C07A8"/>
    <w:rsid w:val="004773B3"/>
    <w:rsid w:val="005D4C79"/>
    <w:rsid w:val="00715698"/>
    <w:rsid w:val="007340E5"/>
    <w:rsid w:val="007E4A47"/>
    <w:rsid w:val="008B4C4E"/>
    <w:rsid w:val="00952B43"/>
    <w:rsid w:val="009B5CD0"/>
    <w:rsid w:val="00A22771"/>
    <w:rsid w:val="00B30B1C"/>
    <w:rsid w:val="00B85B87"/>
    <w:rsid w:val="00BC1D6F"/>
    <w:rsid w:val="00BE1240"/>
    <w:rsid w:val="00C06883"/>
    <w:rsid w:val="00CD19C6"/>
    <w:rsid w:val="00D64026"/>
    <w:rsid w:val="00EC5765"/>
    <w:rsid w:val="00F935CB"/>
    <w:rsid w:val="00FB484F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4E02"/>
  <w15:chartTrackingRefBased/>
  <w15:docId w15:val="{F569798E-8062-8C40-A38D-03553453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D6F"/>
  </w:style>
  <w:style w:type="paragraph" w:styleId="Footer">
    <w:name w:val="footer"/>
    <w:basedOn w:val="Normal"/>
    <w:link w:val="FooterChar"/>
    <w:uiPriority w:val="99"/>
    <w:unhideWhenUsed/>
    <w:rsid w:val="00BC1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D6F"/>
  </w:style>
  <w:style w:type="paragraph" w:styleId="ListParagraph">
    <w:name w:val="List Paragraph"/>
    <w:basedOn w:val="Normal"/>
    <w:uiPriority w:val="34"/>
    <w:qFormat/>
    <w:rsid w:val="002E4A26"/>
    <w:pPr>
      <w:ind w:left="720"/>
      <w:contextualSpacing/>
    </w:pPr>
  </w:style>
  <w:style w:type="numbering" w:customStyle="1" w:styleId="CurrentList1">
    <w:name w:val="Current List1"/>
    <w:uiPriority w:val="99"/>
    <w:rsid w:val="002E4A26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2E4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9C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4C79"/>
  </w:style>
  <w:style w:type="character" w:styleId="CommentReference">
    <w:name w:val="annotation reference"/>
    <w:basedOn w:val="DefaultParagraphFont"/>
    <w:uiPriority w:val="99"/>
    <w:semiHidden/>
    <w:unhideWhenUsed/>
    <w:rsid w:val="005D4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er.org/papers/w31970" TargetMode="External"/><Relationship Id="rId13" Type="http://schemas.openxmlformats.org/officeDocument/2006/relationships/hyperlink" Target="https://www.federalreserve.gov/supervisionreg/srletters/SR2305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deralreserve.gov/boarddocs/srletters/2007/SR0701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info@intellicredit.com?subject=Inquiry%20from%20BankDirector%20article" TargetMode="External"/><Relationship Id="rId10" Type="http://schemas.openxmlformats.org/officeDocument/2006/relationships/hyperlink" Target="https://www.qwickanalytics.com/qcbi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freightwaves.com/news/iowa-bank-failure-tied-to-bad-trucking-loans" TargetMode="External"/><Relationship Id="rId14" Type="http://schemas.openxmlformats.org/officeDocument/2006/relationships/hyperlink" Target="https://intellicred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16" ma:contentTypeDescription="Create a new document." ma:contentTypeScope="" ma:versionID="75ff88f1810271858e87e0f8b7d4f9fc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2873c279aa23739ca28665cca1219a4f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301ac0-2305-4e28-8180-78daa6a574dc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42A2F-7D56-8C4F-AB7A-37CCE1011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53909-E0D9-49DD-830A-39EE5946001B}"/>
</file>

<file path=customXml/itemProps3.xml><?xml version="1.0" encoding="utf-8"?>
<ds:datastoreItem xmlns:ds="http://schemas.openxmlformats.org/officeDocument/2006/customXml" ds:itemID="{ED495D7A-19C7-4AE3-A576-358CE7E46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853</Words>
  <Characters>5065</Characters>
  <Application>Microsoft Office Word</Application>
  <DocSecurity>0</DocSecurity>
  <Lines>194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O'Neill</dc:creator>
  <cp:keywords/>
  <dc:description/>
  <cp:lastModifiedBy>Lorie O'Neill</cp:lastModifiedBy>
  <cp:revision>4</cp:revision>
  <dcterms:created xsi:type="dcterms:W3CDTF">2024-02-14T18:59:00Z</dcterms:created>
  <dcterms:modified xsi:type="dcterms:W3CDTF">2024-02-15T15:14:00Z</dcterms:modified>
</cp:coreProperties>
</file>