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BFD01" w14:textId="16AAF370" w:rsidR="00104740" w:rsidRPr="00E44E70" w:rsidRDefault="00DF7D6A">
      <w:pPr>
        <w:rPr>
          <w:rFonts w:ascii="Calibri" w:hAnsi="Calibri" w:cs="Calibri"/>
          <w:sz w:val="20"/>
          <w:szCs w:val="20"/>
        </w:rPr>
      </w:pPr>
      <w:r>
        <w:rPr>
          <w:rFonts w:ascii="Calibri" w:hAnsi="Calibri" w:cs="Calibri"/>
          <w:sz w:val="20"/>
          <w:szCs w:val="20"/>
        </w:rPr>
        <w:t xml:space="preserve">RESPONSES TO </w:t>
      </w:r>
      <w:r w:rsidR="00E44E70" w:rsidRPr="00E44E70">
        <w:rPr>
          <w:rFonts w:ascii="Calibri" w:hAnsi="Calibri" w:cs="Calibri"/>
          <w:sz w:val="20"/>
          <w:szCs w:val="20"/>
        </w:rPr>
        <w:t>AIAVA BUDGET QUESTIONS</w:t>
      </w:r>
    </w:p>
    <w:p w14:paraId="41B11575" w14:textId="212AC7EB" w:rsidR="00E44E70" w:rsidRPr="00E44E70" w:rsidRDefault="00E44E70">
      <w:pPr>
        <w:rPr>
          <w:rFonts w:ascii="Calibri" w:hAnsi="Calibri" w:cs="Calibri"/>
          <w:sz w:val="20"/>
          <w:szCs w:val="20"/>
        </w:rPr>
      </w:pPr>
      <w:r w:rsidRPr="00E44E70">
        <w:rPr>
          <w:rFonts w:ascii="Calibri" w:hAnsi="Calibri" w:cs="Calibri"/>
          <w:sz w:val="20"/>
          <w:szCs w:val="20"/>
        </w:rPr>
        <w:t>May 2025</w:t>
      </w:r>
    </w:p>
    <w:p w14:paraId="3325A83C" w14:textId="77777777" w:rsidR="00E44E70" w:rsidRPr="00E44E70" w:rsidRDefault="00E44E70">
      <w:pPr>
        <w:rPr>
          <w:rFonts w:ascii="Calibri" w:hAnsi="Calibri" w:cs="Calibri"/>
          <w:sz w:val="20"/>
          <w:szCs w:val="20"/>
        </w:rPr>
      </w:pPr>
    </w:p>
    <w:p w14:paraId="5FB2D9B7" w14:textId="77777777" w:rsidR="00E44E70" w:rsidRPr="00E44E70" w:rsidRDefault="00E44E70" w:rsidP="00E44E70">
      <w:pPr>
        <w:rPr>
          <w:rFonts w:ascii="Calibri" w:hAnsi="Calibri" w:cs="Calibri"/>
          <w:sz w:val="20"/>
          <w:szCs w:val="20"/>
        </w:rPr>
      </w:pPr>
      <w:bookmarkStart w:id="0" w:name="_MailOriginal"/>
    </w:p>
    <w:p w14:paraId="1CE580FD" w14:textId="77777777" w:rsidR="00E44E70" w:rsidRPr="00E44E70" w:rsidRDefault="00E44E70" w:rsidP="00E44E70">
      <w:pPr>
        <w:rPr>
          <w:rFonts w:ascii="Calibri" w:hAnsi="Calibri" w:cs="Calibri"/>
          <w:sz w:val="20"/>
          <w:szCs w:val="20"/>
        </w:rPr>
      </w:pPr>
      <w:r w:rsidRPr="00E44E70">
        <w:rPr>
          <w:rFonts w:ascii="Calibri" w:hAnsi="Calibri" w:cs="Calibri"/>
          <w:sz w:val="20"/>
          <w:szCs w:val="20"/>
        </w:rPr>
        <w:t xml:space="preserve">Broadly, it appears most categories take the actual from 2025 and </w:t>
      </w:r>
      <w:proofErr w:type="gramStart"/>
      <w:r w:rsidRPr="00E44E70">
        <w:rPr>
          <w:rFonts w:ascii="Calibri" w:hAnsi="Calibri" w:cs="Calibri"/>
          <w:sz w:val="20"/>
          <w:szCs w:val="20"/>
        </w:rPr>
        <w:t>carries</w:t>
      </w:r>
      <w:proofErr w:type="gramEnd"/>
      <w:r w:rsidRPr="00E44E70">
        <w:rPr>
          <w:rFonts w:ascii="Calibri" w:hAnsi="Calibri" w:cs="Calibri"/>
          <w:sz w:val="20"/>
          <w:szCs w:val="20"/>
        </w:rPr>
        <w:t xml:space="preserve"> that forward with a slight adjustment for the 2026 budget.</w:t>
      </w:r>
    </w:p>
    <w:p w14:paraId="2B922F98" w14:textId="77777777" w:rsidR="00E44E70" w:rsidRPr="00E44E70" w:rsidRDefault="00E44E70" w:rsidP="00E44E70">
      <w:pPr>
        <w:rPr>
          <w:rFonts w:ascii="Calibri" w:hAnsi="Calibri" w:cs="Calibri"/>
          <w:sz w:val="20"/>
          <w:szCs w:val="20"/>
        </w:rPr>
      </w:pPr>
      <w:r w:rsidRPr="00E44E70">
        <w:rPr>
          <w:rFonts w:ascii="Calibri" w:hAnsi="Calibri" w:cs="Calibri"/>
          <w:sz w:val="20"/>
          <w:szCs w:val="20"/>
        </w:rPr>
        <w:t xml:space="preserve">Design awards pull from 2024, presumably because the 2025 actuals aren’t here yet.  </w:t>
      </w:r>
      <w:proofErr w:type="gramStart"/>
      <w:r w:rsidRPr="00E44E70">
        <w:rPr>
          <w:rFonts w:ascii="Calibri" w:hAnsi="Calibri" w:cs="Calibri"/>
          <w:sz w:val="20"/>
          <w:szCs w:val="20"/>
        </w:rPr>
        <w:t>Design Awards we</w:t>
      </w:r>
      <w:proofErr w:type="gramEnd"/>
      <w:r w:rsidRPr="00E44E70">
        <w:rPr>
          <w:rFonts w:ascii="Calibri" w:hAnsi="Calibri" w:cs="Calibri"/>
          <w:sz w:val="20"/>
          <w:szCs w:val="20"/>
        </w:rPr>
        <w:t xml:space="preserve"> received around 140 to 160 entries each year, and each is based on number of </w:t>
      </w:r>
      <w:proofErr w:type="gramStart"/>
      <w:r w:rsidRPr="00E44E70">
        <w:rPr>
          <w:rFonts w:ascii="Calibri" w:hAnsi="Calibri" w:cs="Calibri"/>
          <w:sz w:val="20"/>
          <w:szCs w:val="20"/>
        </w:rPr>
        <w:t>submission</w:t>
      </w:r>
      <w:proofErr w:type="gramEnd"/>
      <w:r w:rsidRPr="00E44E70">
        <w:rPr>
          <w:rFonts w:ascii="Calibri" w:hAnsi="Calibri" w:cs="Calibri"/>
          <w:sz w:val="20"/>
          <w:szCs w:val="20"/>
        </w:rPr>
        <w:t xml:space="preserve"> The cost </w:t>
      </w:r>
      <w:proofErr w:type="gramStart"/>
      <w:r w:rsidRPr="00E44E70">
        <w:rPr>
          <w:rFonts w:ascii="Calibri" w:hAnsi="Calibri" w:cs="Calibri"/>
          <w:sz w:val="20"/>
          <w:szCs w:val="20"/>
        </w:rPr>
        <w:t>was  raised</w:t>
      </w:r>
      <w:proofErr w:type="gramEnd"/>
      <w:r w:rsidRPr="00E44E70">
        <w:rPr>
          <w:rFonts w:ascii="Calibri" w:hAnsi="Calibri" w:cs="Calibri"/>
          <w:sz w:val="20"/>
          <w:szCs w:val="20"/>
        </w:rPr>
        <w:t xml:space="preserve"> in </w:t>
      </w:r>
      <w:proofErr w:type="gramStart"/>
      <w:r w:rsidRPr="00E44E70">
        <w:rPr>
          <w:rFonts w:ascii="Calibri" w:hAnsi="Calibri" w:cs="Calibri"/>
          <w:sz w:val="20"/>
          <w:szCs w:val="20"/>
        </w:rPr>
        <w:t>2024</w:t>
      </w:r>
      <w:proofErr w:type="gramEnd"/>
      <w:r w:rsidRPr="00E44E70">
        <w:rPr>
          <w:rFonts w:ascii="Calibri" w:hAnsi="Calibri" w:cs="Calibri"/>
          <w:sz w:val="20"/>
          <w:szCs w:val="20"/>
        </w:rPr>
        <w:t xml:space="preserve"> but we received slightly fewer entries so this year we have the same 2024 prices. This is why the budget is 28K. </w:t>
      </w:r>
    </w:p>
    <w:p w14:paraId="2238B136" w14:textId="77777777" w:rsidR="00E44E70" w:rsidRPr="00E44E70" w:rsidRDefault="00E44E70" w:rsidP="00E44E70">
      <w:pPr>
        <w:rPr>
          <w:rFonts w:ascii="Calibri" w:hAnsi="Calibri" w:cs="Calibri"/>
          <w:sz w:val="20"/>
          <w:szCs w:val="20"/>
        </w:rPr>
      </w:pPr>
    </w:p>
    <w:p w14:paraId="73F33A08" w14:textId="77777777" w:rsidR="00E44E70" w:rsidRPr="00E44E70" w:rsidRDefault="00E44E70" w:rsidP="00E44E70">
      <w:pPr>
        <w:numPr>
          <w:ilvl w:val="0"/>
          <w:numId w:val="2"/>
        </w:numPr>
        <w:rPr>
          <w:rFonts w:ascii="Calibri" w:hAnsi="Calibri" w:cs="Calibri"/>
          <w:sz w:val="20"/>
          <w:szCs w:val="20"/>
        </w:rPr>
      </w:pPr>
      <w:r w:rsidRPr="00E44E70">
        <w:rPr>
          <w:rFonts w:ascii="Calibri" w:hAnsi="Calibri" w:cs="Calibri"/>
          <w:sz w:val="20"/>
          <w:szCs w:val="20"/>
        </w:rPr>
        <w:t xml:space="preserve">This seems reasonable under “business as usual” conditions.  If an economic recession is currently looking more likely in the near future, I know we have the investment money as a potential backstop, but are there other contingencies that </w:t>
      </w:r>
      <w:proofErr w:type="gramStart"/>
      <w:r w:rsidRPr="00E44E70">
        <w:rPr>
          <w:rFonts w:ascii="Calibri" w:hAnsi="Calibri" w:cs="Calibri"/>
          <w:sz w:val="20"/>
          <w:szCs w:val="20"/>
        </w:rPr>
        <w:t>were</w:t>
      </w:r>
      <w:proofErr w:type="gramEnd"/>
      <w:r w:rsidRPr="00E44E70">
        <w:rPr>
          <w:rFonts w:ascii="Calibri" w:hAnsi="Calibri" w:cs="Calibri"/>
          <w:sz w:val="20"/>
          <w:szCs w:val="20"/>
        </w:rPr>
        <w:t xml:space="preserve"> discussed so far?  No other contingencies have been discussed but I feel making the changes we are making this year helps a lot.  </w:t>
      </w:r>
    </w:p>
    <w:p w14:paraId="550647CE" w14:textId="77777777" w:rsidR="00E44E70" w:rsidRPr="00E44E70" w:rsidRDefault="00E44E70" w:rsidP="00E44E70">
      <w:pPr>
        <w:rPr>
          <w:rFonts w:ascii="Calibri" w:hAnsi="Calibri" w:cs="Calibri"/>
          <w:sz w:val="20"/>
          <w:szCs w:val="20"/>
        </w:rPr>
      </w:pPr>
    </w:p>
    <w:p w14:paraId="6CFD9043" w14:textId="77777777" w:rsidR="00E44E70" w:rsidRPr="00E44E70" w:rsidRDefault="00E44E70" w:rsidP="00E44E70">
      <w:pPr>
        <w:numPr>
          <w:ilvl w:val="0"/>
          <w:numId w:val="2"/>
        </w:numPr>
        <w:rPr>
          <w:rFonts w:ascii="Calibri" w:hAnsi="Calibri" w:cs="Calibri"/>
          <w:sz w:val="20"/>
          <w:szCs w:val="20"/>
        </w:rPr>
      </w:pPr>
      <w:r w:rsidRPr="00E44E70">
        <w:rPr>
          <w:rFonts w:ascii="Calibri" w:hAnsi="Calibri" w:cs="Calibri"/>
          <w:sz w:val="20"/>
          <w:szCs w:val="20"/>
        </w:rPr>
        <w:t>In light of the comments from Babs/</w:t>
      </w:r>
      <w:proofErr w:type="spellStart"/>
      <w:r w:rsidRPr="00E44E70">
        <w:rPr>
          <w:rFonts w:ascii="Calibri" w:hAnsi="Calibri" w:cs="Calibri"/>
          <w:sz w:val="20"/>
          <w:szCs w:val="20"/>
        </w:rPr>
        <w:t>CoVA</w:t>
      </w:r>
      <w:proofErr w:type="spellEnd"/>
      <w:r w:rsidRPr="00E44E70">
        <w:rPr>
          <w:rFonts w:ascii="Calibri" w:hAnsi="Calibri" w:cs="Calibri"/>
          <w:sz w:val="20"/>
          <w:szCs w:val="20"/>
        </w:rPr>
        <w:t xml:space="preserve">, the way this budget is written, the programs appear to pay for themselves, because staff costs are lumped into their own category, which is mostly balanced by Dues income; but this method doesn’t facilitate a review of the effectiveness of those programs or evaluate how staff time is allocated.  For example, at my firm, I have to log my time to each project number.  Is there some internal method of tracking staff time that doesn’t show up on the budget that would help identify how staff costs get attributed to other programs?  AIA Virginia does track time by the year now. A little background with this is, when we had 6 or 7 employees it was customary to allocate time monthly, </w:t>
      </w:r>
      <w:proofErr w:type="gramStart"/>
      <w:r w:rsidRPr="00E44E70">
        <w:rPr>
          <w:rFonts w:ascii="Calibri" w:hAnsi="Calibri" w:cs="Calibri"/>
          <w:sz w:val="20"/>
          <w:szCs w:val="20"/>
        </w:rPr>
        <w:t>But</w:t>
      </w:r>
      <w:proofErr w:type="gramEnd"/>
      <w:r w:rsidRPr="00E44E70">
        <w:rPr>
          <w:rFonts w:ascii="Calibri" w:hAnsi="Calibri" w:cs="Calibri"/>
          <w:sz w:val="20"/>
          <w:szCs w:val="20"/>
        </w:rPr>
        <w:t xml:space="preserve"> as the staff has shrunk dramatically under past EVP </w:t>
      </w:r>
      <w:proofErr w:type="gramStart"/>
      <w:r w:rsidRPr="00E44E70">
        <w:rPr>
          <w:rFonts w:ascii="Calibri" w:hAnsi="Calibri" w:cs="Calibri"/>
          <w:sz w:val="20"/>
          <w:szCs w:val="20"/>
        </w:rPr>
        <w:t>guidance</w:t>
      </w:r>
      <w:proofErr w:type="gramEnd"/>
      <w:r w:rsidRPr="00E44E70">
        <w:rPr>
          <w:rFonts w:ascii="Calibri" w:hAnsi="Calibri" w:cs="Calibri"/>
          <w:sz w:val="20"/>
          <w:szCs w:val="20"/>
        </w:rPr>
        <w:t xml:space="preserve"> we decided not to put that extra burden on the small staff each month along with everything else they do. What I will do to help with this is add the allocated cost to the budget for the </w:t>
      </w:r>
      <w:proofErr w:type="gramStart"/>
      <w:r w:rsidRPr="00E44E70">
        <w:rPr>
          <w:rFonts w:ascii="Calibri" w:hAnsi="Calibri" w:cs="Calibri"/>
          <w:sz w:val="20"/>
          <w:szCs w:val="20"/>
        </w:rPr>
        <w:t>year completed</w:t>
      </w:r>
      <w:proofErr w:type="gramEnd"/>
      <w:r w:rsidRPr="00E44E70">
        <w:rPr>
          <w:rFonts w:ascii="Calibri" w:hAnsi="Calibri" w:cs="Calibri"/>
          <w:sz w:val="20"/>
          <w:szCs w:val="20"/>
        </w:rPr>
        <w:t xml:space="preserve"> and this may help </w:t>
      </w:r>
      <w:proofErr w:type="gramStart"/>
      <w:r w:rsidRPr="00E44E70">
        <w:rPr>
          <w:rFonts w:ascii="Calibri" w:hAnsi="Calibri" w:cs="Calibri"/>
          <w:sz w:val="20"/>
          <w:szCs w:val="20"/>
        </w:rPr>
        <w:t>in</w:t>
      </w:r>
      <w:proofErr w:type="gramEnd"/>
      <w:r w:rsidRPr="00E44E70">
        <w:rPr>
          <w:rFonts w:ascii="Calibri" w:hAnsi="Calibri" w:cs="Calibri"/>
          <w:sz w:val="20"/>
          <w:szCs w:val="20"/>
        </w:rPr>
        <w:t xml:space="preserve"> seeing the picture they may need to see. </w:t>
      </w:r>
    </w:p>
    <w:p w14:paraId="56943FCB" w14:textId="77777777" w:rsidR="00E44E70" w:rsidRPr="00E44E70" w:rsidRDefault="00E44E70" w:rsidP="00E44E70">
      <w:pPr>
        <w:rPr>
          <w:rFonts w:ascii="Calibri" w:hAnsi="Calibri" w:cs="Calibri"/>
          <w:sz w:val="20"/>
          <w:szCs w:val="20"/>
        </w:rPr>
      </w:pPr>
    </w:p>
    <w:p w14:paraId="1060267E" w14:textId="77777777" w:rsidR="00E44E70" w:rsidRPr="00E44E70" w:rsidRDefault="00E44E70" w:rsidP="00E44E70">
      <w:pPr>
        <w:numPr>
          <w:ilvl w:val="0"/>
          <w:numId w:val="2"/>
        </w:numPr>
        <w:rPr>
          <w:rFonts w:ascii="Calibri" w:hAnsi="Calibri" w:cs="Calibri"/>
          <w:sz w:val="20"/>
          <w:szCs w:val="20"/>
        </w:rPr>
      </w:pPr>
      <w:r w:rsidRPr="00E44E70">
        <w:rPr>
          <w:rFonts w:ascii="Calibri" w:hAnsi="Calibri" w:cs="Calibri"/>
          <w:sz w:val="20"/>
          <w:szCs w:val="20"/>
        </w:rPr>
        <w:t xml:space="preserve">In previous years as a president of AIA BR, I reached out to Delaney several times to try and collaborate on educational programs and basically got </w:t>
      </w:r>
      <w:proofErr w:type="gramStart"/>
      <w:r w:rsidRPr="00E44E70">
        <w:rPr>
          <w:rFonts w:ascii="Calibri" w:hAnsi="Calibri" w:cs="Calibri"/>
          <w:sz w:val="20"/>
          <w:szCs w:val="20"/>
        </w:rPr>
        <w:t>told</w:t>
      </w:r>
      <w:proofErr w:type="gramEnd"/>
      <w:r w:rsidRPr="00E44E70">
        <w:rPr>
          <w:rFonts w:ascii="Calibri" w:hAnsi="Calibri" w:cs="Calibri"/>
          <w:sz w:val="20"/>
          <w:szCs w:val="20"/>
        </w:rPr>
        <w:t xml:space="preserve"> no because there was no budget for that.  Should there be added a budget line item for “collaboration with local components” that represents either money for travel or some staff time to allow Delaney to say “yes” to requests to collaborate with components? </w:t>
      </w:r>
      <w:proofErr w:type="gramStart"/>
      <w:r w:rsidRPr="00E44E70">
        <w:rPr>
          <w:rFonts w:ascii="Calibri" w:hAnsi="Calibri" w:cs="Calibri"/>
          <w:sz w:val="20"/>
          <w:szCs w:val="20"/>
        </w:rPr>
        <w:t>Mr. Paul</w:t>
      </w:r>
      <w:proofErr w:type="gramEnd"/>
      <w:r w:rsidRPr="00E44E70">
        <w:rPr>
          <w:rFonts w:ascii="Calibri" w:hAnsi="Calibri" w:cs="Calibri"/>
          <w:sz w:val="20"/>
          <w:szCs w:val="20"/>
        </w:rPr>
        <w:t xml:space="preserve"> I don’t think this is a budget problem per say, I believe this is a time problem. Just my thought on what was stated in the past if anyone wanted to start a program or </w:t>
      </w:r>
      <w:proofErr w:type="gramStart"/>
      <w:r w:rsidRPr="00E44E70">
        <w:rPr>
          <w:rFonts w:ascii="Calibri" w:hAnsi="Calibri" w:cs="Calibri"/>
          <w:sz w:val="20"/>
          <w:szCs w:val="20"/>
        </w:rPr>
        <w:t>add on</w:t>
      </w:r>
      <w:proofErr w:type="gramEnd"/>
      <w:r w:rsidRPr="00E44E70">
        <w:rPr>
          <w:rFonts w:ascii="Calibri" w:hAnsi="Calibri" w:cs="Calibri"/>
          <w:sz w:val="20"/>
          <w:szCs w:val="20"/>
        </w:rPr>
        <w:t xml:space="preserve"> </w:t>
      </w:r>
      <w:proofErr w:type="gramStart"/>
      <w:r w:rsidRPr="00E44E70">
        <w:rPr>
          <w:rFonts w:ascii="Calibri" w:hAnsi="Calibri" w:cs="Calibri"/>
          <w:sz w:val="20"/>
          <w:szCs w:val="20"/>
        </w:rPr>
        <w:t>one</w:t>
      </w:r>
      <w:proofErr w:type="gramEnd"/>
      <w:r w:rsidRPr="00E44E70">
        <w:rPr>
          <w:rFonts w:ascii="Calibri" w:hAnsi="Calibri" w:cs="Calibri"/>
          <w:sz w:val="20"/>
          <w:szCs w:val="20"/>
        </w:rPr>
        <w:t xml:space="preserve"> they would have to take the lead and raise money and do it. I think Delaney’s time is pretty full </w:t>
      </w:r>
      <w:proofErr w:type="gramStart"/>
      <w:r w:rsidRPr="00E44E70">
        <w:rPr>
          <w:rFonts w:ascii="Calibri" w:hAnsi="Calibri" w:cs="Calibri"/>
          <w:sz w:val="20"/>
          <w:szCs w:val="20"/>
        </w:rPr>
        <w:t>with</w:t>
      </w:r>
      <w:proofErr w:type="gramEnd"/>
      <w:r w:rsidRPr="00E44E70">
        <w:rPr>
          <w:rFonts w:ascii="Calibri" w:hAnsi="Calibri" w:cs="Calibri"/>
          <w:sz w:val="20"/>
          <w:szCs w:val="20"/>
        </w:rPr>
        <w:t xml:space="preserve"> all the programs she has. Just my thought, Sorry.</w:t>
      </w:r>
    </w:p>
    <w:p w14:paraId="53B157C9" w14:textId="77777777" w:rsidR="00E44E70" w:rsidRPr="00E44E70" w:rsidRDefault="00E44E70" w:rsidP="00E44E70">
      <w:pPr>
        <w:rPr>
          <w:rFonts w:ascii="Calibri" w:hAnsi="Calibri" w:cs="Calibri"/>
          <w:sz w:val="20"/>
          <w:szCs w:val="20"/>
        </w:rPr>
      </w:pPr>
    </w:p>
    <w:p w14:paraId="558193B5" w14:textId="77777777" w:rsidR="00E44E70" w:rsidRPr="00E44E70" w:rsidRDefault="00E44E70" w:rsidP="00E44E70">
      <w:pPr>
        <w:rPr>
          <w:rFonts w:ascii="Calibri" w:hAnsi="Calibri" w:cs="Calibri"/>
          <w:sz w:val="20"/>
          <w:szCs w:val="20"/>
        </w:rPr>
      </w:pPr>
      <w:r w:rsidRPr="00E44E70">
        <w:rPr>
          <w:rFonts w:ascii="Calibri" w:hAnsi="Calibri" w:cs="Calibri"/>
          <w:sz w:val="20"/>
          <w:szCs w:val="20"/>
        </w:rPr>
        <w:t xml:space="preserve">Just to be clear, I don’t think that AIA VA is being wasteful nor am I accusing staff of not using their time effectively.  I just think that to some extent, the way the budget is written makes it hard for me to evaluate because staff costs just </w:t>
      </w:r>
      <w:proofErr w:type="gramStart"/>
      <w:r w:rsidRPr="00E44E70">
        <w:rPr>
          <w:rFonts w:ascii="Calibri" w:hAnsi="Calibri" w:cs="Calibri"/>
          <w:sz w:val="20"/>
          <w:szCs w:val="20"/>
        </w:rPr>
        <w:t>becomes</w:t>
      </w:r>
      <w:proofErr w:type="gramEnd"/>
      <w:r w:rsidRPr="00E44E70">
        <w:rPr>
          <w:rFonts w:ascii="Calibri" w:hAnsi="Calibri" w:cs="Calibri"/>
          <w:sz w:val="20"/>
          <w:szCs w:val="20"/>
        </w:rPr>
        <w:t xml:space="preserve"> a big lump of </w:t>
      </w:r>
      <w:proofErr w:type="gramStart"/>
      <w:r w:rsidRPr="00E44E70">
        <w:rPr>
          <w:rFonts w:ascii="Calibri" w:hAnsi="Calibri" w:cs="Calibri"/>
          <w:sz w:val="20"/>
          <w:szCs w:val="20"/>
        </w:rPr>
        <w:t>cost</w:t>
      </w:r>
      <w:proofErr w:type="gramEnd"/>
      <w:r w:rsidRPr="00E44E70">
        <w:rPr>
          <w:rFonts w:ascii="Calibri" w:hAnsi="Calibri" w:cs="Calibri"/>
          <w:sz w:val="20"/>
          <w:szCs w:val="20"/>
        </w:rPr>
        <w:t xml:space="preserve">.  We can change this back to monthly Mr. </w:t>
      </w:r>
      <w:proofErr w:type="gramStart"/>
      <w:r w:rsidRPr="00E44E70">
        <w:rPr>
          <w:rFonts w:ascii="Calibri" w:hAnsi="Calibri" w:cs="Calibri"/>
          <w:sz w:val="20"/>
          <w:szCs w:val="20"/>
        </w:rPr>
        <w:t>Paul</w:t>
      </w:r>
      <w:proofErr w:type="gramEnd"/>
      <w:r w:rsidRPr="00E44E70">
        <w:rPr>
          <w:rFonts w:ascii="Calibri" w:hAnsi="Calibri" w:cs="Calibri"/>
          <w:sz w:val="20"/>
          <w:szCs w:val="20"/>
        </w:rPr>
        <w:t xml:space="preserve"> but this will be your </w:t>
      </w:r>
      <w:proofErr w:type="gramStart"/>
      <w:r w:rsidRPr="00E44E70">
        <w:rPr>
          <w:rFonts w:ascii="Calibri" w:hAnsi="Calibri" w:cs="Calibri"/>
          <w:sz w:val="20"/>
          <w:szCs w:val="20"/>
        </w:rPr>
        <w:t>call</w:t>
      </w:r>
      <w:proofErr w:type="gramEnd"/>
      <w:r w:rsidRPr="00E44E70">
        <w:rPr>
          <w:rFonts w:ascii="Calibri" w:hAnsi="Calibri" w:cs="Calibri"/>
          <w:sz w:val="20"/>
          <w:szCs w:val="20"/>
        </w:rPr>
        <w:t xml:space="preserve"> and I thought of it not putting </w:t>
      </w:r>
      <w:proofErr w:type="spellStart"/>
      <w:proofErr w:type="gramStart"/>
      <w:r w:rsidRPr="00E44E70">
        <w:rPr>
          <w:rFonts w:ascii="Calibri" w:hAnsi="Calibri" w:cs="Calibri"/>
          <w:sz w:val="20"/>
          <w:szCs w:val="20"/>
        </w:rPr>
        <w:t>to</w:t>
      </w:r>
      <w:proofErr w:type="spellEnd"/>
      <w:proofErr w:type="gramEnd"/>
      <w:r w:rsidRPr="00E44E70">
        <w:rPr>
          <w:rFonts w:ascii="Calibri" w:hAnsi="Calibri" w:cs="Calibri"/>
          <w:sz w:val="20"/>
          <w:szCs w:val="20"/>
        </w:rPr>
        <w:t xml:space="preserve"> much more on everyone’s plate. </w:t>
      </w:r>
    </w:p>
    <w:p w14:paraId="670C70DA" w14:textId="77777777" w:rsidR="00E44E70" w:rsidRPr="00E44E70" w:rsidRDefault="00E44E70" w:rsidP="00E44E70">
      <w:pPr>
        <w:rPr>
          <w:rFonts w:ascii="Calibri" w:hAnsi="Calibri" w:cs="Calibri"/>
          <w:sz w:val="20"/>
          <w:szCs w:val="20"/>
        </w:rPr>
      </w:pPr>
    </w:p>
    <w:p w14:paraId="63523CD3" w14:textId="77777777" w:rsidR="00E44E70" w:rsidRPr="00E44E70" w:rsidRDefault="00E44E70" w:rsidP="00E44E70">
      <w:pPr>
        <w:rPr>
          <w:rFonts w:ascii="Calibri" w:hAnsi="Calibri" w:cs="Calibri"/>
          <w:sz w:val="20"/>
          <w:szCs w:val="20"/>
        </w:rPr>
      </w:pPr>
    </w:p>
    <w:p w14:paraId="64F45E7D" w14:textId="77777777" w:rsidR="00E44E70" w:rsidRPr="00E44E70" w:rsidRDefault="00E44E70" w:rsidP="00E44E70">
      <w:pPr>
        <w:rPr>
          <w:rFonts w:ascii="Calibri" w:hAnsi="Calibri" w:cs="Calibri"/>
          <w:sz w:val="20"/>
          <w:szCs w:val="20"/>
        </w:rPr>
      </w:pPr>
      <w:r w:rsidRPr="00E44E70">
        <w:rPr>
          <w:rFonts w:ascii="Calibri" w:hAnsi="Calibri" w:cs="Calibri"/>
          <w:sz w:val="20"/>
          <w:szCs w:val="20"/>
        </w:rPr>
        <w:t xml:space="preserve">Paul - </w:t>
      </w:r>
      <w:proofErr w:type="gramStart"/>
      <w:r w:rsidRPr="00E44E70">
        <w:rPr>
          <w:rFonts w:ascii="Calibri" w:hAnsi="Calibri" w:cs="Calibri"/>
          <w:sz w:val="20"/>
          <w:szCs w:val="20"/>
        </w:rPr>
        <w:t>wanted</w:t>
      </w:r>
      <w:proofErr w:type="gramEnd"/>
      <w:r w:rsidRPr="00E44E70">
        <w:rPr>
          <w:rFonts w:ascii="Calibri" w:hAnsi="Calibri" w:cs="Calibri"/>
          <w:sz w:val="20"/>
          <w:szCs w:val="20"/>
        </w:rPr>
        <w:t xml:space="preserve"> to get your input on the budget for Arch Ex Keynote Speakers - we're finding that the amount we've included in the budget </w:t>
      </w:r>
      <w:proofErr w:type="gramStart"/>
      <w:r w:rsidRPr="00E44E70">
        <w:rPr>
          <w:rFonts w:ascii="Calibri" w:hAnsi="Calibri" w:cs="Calibri"/>
          <w:sz w:val="20"/>
          <w:szCs w:val="20"/>
        </w:rPr>
        <w:t>is</w:t>
      </w:r>
      <w:proofErr w:type="gramEnd"/>
      <w:r w:rsidRPr="00E44E70">
        <w:rPr>
          <w:rFonts w:ascii="Calibri" w:hAnsi="Calibri" w:cs="Calibri"/>
          <w:sz w:val="20"/>
          <w:szCs w:val="20"/>
        </w:rPr>
        <w:t xml:space="preserve"> not quite </w:t>
      </w:r>
      <w:proofErr w:type="gramStart"/>
      <w:r w:rsidRPr="00E44E70">
        <w:rPr>
          <w:rFonts w:ascii="Calibri" w:hAnsi="Calibri" w:cs="Calibri"/>
          <w:sz w:val="20"/>
          <w:szCs w:val="20"/>
        </w:rPr>
        <w:t>meeting</w:t>
      </w:r>
      <w:proofErr w:type="gramEnd"/>
      <w:r w:rsidRPr="00E44E70">
        <w:rPr>
          <w:rFonts w:ascii="Calibri" w:hAnsi="Calibri" w:cs="Calibri"/>
          <w:sz w:val="20"/>
          <w:szCs w:val="20"/>
        </w:rPr>
        <w:t xml:space="preserve"> the EAC's strategy for a keynote panel this year.  Are there any opportunities to shift some $$ around there?  Thinking more like $15k for that line item, instead of $10k. I can change this to 15K</w:t>
      </w:r>
    </w:p>
    <w:p w14:paraId="0DD9DA93" w14:textId="77777777" w:rsidR="00E44E70" w:rsidRPr="00E44E70" w:rsidRDefault="00E44E70" w:rsidP="00E44E70">
      <w:pPr>
        <w:rPr>
          <w:rFonts w:ascii="Calibri" w:hAnsi="Calibri" w:cs="Calibri"/>
          <w:sz w:val="20"/>
          <w:szCs w:val="20"/>
        </w:rPr>
      </w:pPr>
    </w:p>
    <w:p w14:paraId="79A2E1DC" w14:textId="77777777" w:rsidR="00E44E70" w:rsidRPr="00E44E70" w:rsidRDefault="00E44E70" w:rsidP="00E44E70">
      <w:pPr>
        <w:rPr>
          <w:rFonts w:ascii="Calibri" w:hAnsi="Calibri" w:cs="Calibri"/>
          <w:sz w:val="20"/>
          <w:szCs w:val="20"/>
        </w:rPr>
      </w:pPr>
      <w:r w:rsidRPr="00E44E70">
        <w:rPr>
          <w:rFonts w:ascii="Calibri" w:hAnsi="Calibri" w:cs="Calibri"/>
          <w:sz w:val="20"/>
          <w:szCs w:val="20"/>
        </w:rPr>
        <w:t xml:space="preserve">The EAC's opinion is that </w:t>
      </w:r>
      <w:proofErr w:type="spellStart"/>
      <w:r w:rsidRPr="00E44E70">
        <w:rPr>
          <w:rFonts w:ascii="Calibri" w:hAnsi="Calibri" w:cs="Calibri"/>
          <w:sz w:val="20"/>
          <w:szCs w:val="20"/>
        </w:rPr>
        <w:t>ArchEx</w:t>
      </w:r>
      <w:proofErr w:type="spellEnd"/>
      <w:r w:rsidRPr="00E44E70">
        <w:rPr>
          <w:rFonts w:ascii="Calibri" w:hAnsi="Calibri" w:cs="Calibri"/>
          <w:sz w:val="20"/>
          <w:szCs w:val="20"/>
        </w:rPr>
        <w:t xml:space="preserve"> is our leading flagship program, which </w:t>
      </w:r>
      <w:proofErr w:type="gramStart"/>
      <w:r w:rsidRPr="00E44E70">
        <w:rPr>
          <w:rFonts w:ascii="Calibri" w:hAnsi="Calibri" w:cs="Calibri"/>
          <w:sz w:val="20"/>
          <w:szCs w:val="20"/>
        </w:rPr>
        <w:t>more than pays</w:t>
      </w:r>
      <w:proofErr w:type="gramEnd"/>
      <w:r w:rsidRPr="00E44E70">
        <w:rPr>
          <w:rFonts w:ascii="Calibri" w:hAnsi="Calibri" w:cs="Calibri"/>
          <w:sz w:val="20"/>
          <w:szCs w:val="20"/>
        </w:rPr>
        <w:t xml:space="preserve"> for itself.  If our focus is to increase attendance at </w:t>
      </w:r>
      <w:proofErr w:type="spellStart"/>
      <w:r w:rsidRPr="00E44E70">
        <w:rPr>
          <w:rFonts w:ascii="Calibri" w:hAnsi="Calibri" w:cs="Calibri"/>
          <w:sz w:val="20"/>
          <w:szCs w:val="20"/>
        </w:rPr>
        <w:t>ArchEx</w:t>
      </w:r>
      <w:proofErr w:type="spellEnd"/>
      <w:r w:rsidRPr="00E44E70">
        <w:rPr>
          <w:rFonts w:ascii="Calibri" w:hAnsi="Calibri" w:cs="Calibri"/>
          <w:sz w:val="20"/>
          <w:szCs w:val="20"/>
        </w:rPr>
        <w:t>, it should be reasonable to consider investing more in our keynote speakers, who often bring attendance numbers up. </w:t>
      </w:r>
    </w:p>
    <w:bookmarkEnd w:id="0"/>
    <w:p w14:paraId="14FC2708" w14:textId="77777777" w:rsidR="00E44E70" w:rsidRPr="00E44E70" w:rsidRDefault="00E44E70">
      <w:pPr>
        <w:rPr>
          <w:rFonts w:ascii="Calibri" w:hAnsi="Calibri" w:cs="Calibri"/>
          <w:sz w:val="20"/>
          <w:szCs w:val="20"/>
        </w:rPr>
      </w:pPr>
    </w:p>
    <w:sectPr w:rsidR="00E44E70" w:rsidRPr="00E44E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25A8"/>
    <w:multiLevelType w:val="hybridMultilevel"/>
    <w:tmpl w:val="6CC07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5053A14"/>
    <w:multiLevelType w:val="hybridMultilevel"/>
    <w:tmpl w:val="7A30F0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92660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1320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70"/>
    <w:rsid w:val="00104740"/>
    <w:rsid w:val="00105779"/>
    <w:rsid w:val="003E1943"/>
    <w:rsid w:val="008420FD"/>
    <w:rsid w:val="00DF7D6A"/>
    <w:rsid w:val="00E44E70"/>
    <w:rsid w:val="00F9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6A46"/>
  <w15:chartTrackingRefBased/>
  <w15:docId w15:val="{0AB9809F-D8B1-4024-BA9A-8751B78D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E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E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E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E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E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E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E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E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E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E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E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E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E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E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E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E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E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E70"/>
    <w:rPr>
      <w:rFonts w:eastAsiaTheme="majorEastAsia" w:cstheme="majorBidi"/>
      <w:color w:val="272727" w:themeColor="text1" w:themeTint="D8"/>
    </w:rPr>
  </w:style>
  <w:style w:type="paragraph" w:styleId="Title">
    <w:name w:val="Title"/>
    <w:basedOn w:val="Normal"/>
    <w:next w:val="Normal"/>
    <w:link w:val="TitleChar"/>
    <w:uiPriority w:val="10"/>
    <w:qFormat/>
    <w:rsid w:val="00E44E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E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E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E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E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E70"/>
    <w:rPr>
      <w:i/>
      <w:iCs/>
      <w:color w:val="404040" w:themeColor="text1" w:themeTint="BF"/>
    </w:rPr>
  </w:style>
  <w:style w:type="paragraph" w:styleId="ListParagraph">
    <w:name w:val="List Paragraph"/>
    <w:basedOn w:val="Normal"/>
    <w:uiPriority w:val="34"/>
    <w:qFormat/>
    <w:rsid w:val="00E44E70"/>
    <w:pPr>
      <w:ind w:left="720"/>
      <w:contextualSpacing/>
    </w:pPr>
  </w:style>
  <w:style w:type="character" w:styleId="IntenseEmphasis">
    <w:name w:val="Intense Emphasis"/>
    <w:basedOn w:val="DefaultParagraphFont"/>
    <w:uiPriority w:val="21"/>
    <w:qFormat/>
    <w:rsid w:val="00E44E70"/>
    <w:rPr>
      <w:i/>
      <w:iCs/>
      <w:color w:val="0F4761" w:themeColor="accent1" w:themeShade="BF"/>
    </w:rPr>
  </w:style>
  <w:style w:type="paragraph" w:styleId="IntenseQuote">
    <w:name w:val="Intense Quote"/>
    <w:basedOn w:val="Normal"/>
    <w:next w:val="Normal"/>
    <w:link w:val="IntenseQuoteChar"/>
    <w:uiPriority w:val="30"/>
    <w:qFormat/>
    <w:rsid w:val="00E44E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E70"/>
    <w:rPr>
      <w:i/>
      <w:iCs/>
      <w:color w:val="0F4761" w:themeColor="accent1" w:themeShade="BF"/>
    </w:rPr>
  </w:style>
  <w:style w:type="character" w:styleId="IntenseReference">
    <w:name w:val="Intense Reference"/>
    <w:basedOn w:val="DefaultParagraphFont"/>
    <w:uiPriority w:val="32"/>
    <w:qFormat/>
    <w:rsid w:val="00E44E70"/>
    <w:rPr>
      <w:b/>
      <w:bCs/>
      <w:smallCaps/>
      <w:color w:val="0F4761" w:themeColor="accent1" w:themeShade="BF"/>
      <w:spacing w:val="5"/>
    </w:rPr>
  </w:style>
  <w:style w:type="character" w:styleId="Hyperlink">
    <w:name w:val="Hyperlink"/>
    <w:basedOn w:val="DefaultParagraphFont"/>
    <w:uiPriority w:val="99"/>
    <w:unhideWhenUsed/>
    <w:rsid w:val="00E44E70"/>
    <w:rPr>
      <w:color w:val="467886" w:themeColor="hyperlink"/>
      <w:u w:val="single"/>
    </w:rPr>
  </w:style>
  <w:style w:type="character" w:styleId="UnresolvedMention">
    <w:name w:val="Unresolved Mention"/>
    <w:basedOn w:val="DefaultParagraphFont"/>
    <w:uiPriority w:val="99"/>
    <w:semiHidden/>
    <w:unhideWhenUsed/>
    <w:rsid w:val="00E44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353907">
      <w:bodyDiv w:val="1"/>
      <w:marLeft w:val="0"/>
      <w:marRight w:val="0"/>
      <w:marTop w:val="0"/>
      <w:marBottom w:val="0"/>
      <w:divBdr>
        <w:top w:val="none" w:sz="0" w:space="0" w:color="auto"/>
        <w:left w:val="none" w:sz="0" w:space="0" w:color="auto"/>
        <w:bottom w:val="none" w:sz="0" w:space="0" w:color="auto"/>
        <w:right w:val="none" w:sz="0" w:space="0" w:color="auto"/>
      </w:divBdr>
    </w:div>
    <w:div w:id="49475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2db865-0895-410a-91c5-7c6e296fba4f">
      <Terms xmlns="http://schemas.microsoft.com/office/infopath/2007/PartnerControls"/>
    </lcf76f155ced4ddcb4097134ff3c332f>
    <TaxCatchAll xmlns="05f59206-51a0-4ba8-974e-2f18865ba5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BC1865F71A14C9D97D9744E5ADEE5" ma:contentTypeVersion="18" ma:contentTypeDescription="Create a new document." ma:contentTypeScope="" ma:versionID="caf081dcb60aca3e152fdf9ae1984d9d">
  <xsd:schema xmlns:xsd="http://www.w3.org/2001/XMLSchema" xmlns:xs="http://www.w3.org/2001/XMLSchema" xmlns:p="http://schemas.microsoft.com/office/2006/metadata/properties" xmlns:ns2="8d2db865-0895-410a-91c5-7c6e296fba4f" xmlns:ns3="05f59206-51a0-4ba8-974e-2f18865ba531" targetNamespace="http://schemas.microsoft.com/office/2006/metadata/properties" ma:root="true" ma:fieldsID="6fd0dba4f91c74f8c3353443dbf02288" ns2:_="" ns3:_="">
    <xsd:import namespace="8d2db865-0895-410a-91c5-7c6e296fba4f"/>
    <xsd:import namespace="05f59206-51a0-4ba8-974e-2f18865ba5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db865-0895-410a-91c5-7c6e296fb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d169f-0096-4e64-a143-92781ddec86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59206-51a0-4ba8-974e-2f18865ba5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0be5f0-1bb8-4d57-894d-fe826871a1e1}" ma:internalName="TaxCatchAll" ma:showField="CatchAllData" ma:web="05f59206-51a0-4ba8-974e-2f18865ba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521A2-3399-44C1-A13F-7AE865587BA8}">
  <ds:schemaRefs>
    <ds:schemaRef ds:uri="http://schemas.microsoft.com/office/2006/metadata/properties"/>
    <ds:schemaRef ds:uri="http://schemas.microsoft.com/office/infopath/2007/PartnerControls"/>
    <ds:schemaRef ds:uri="8d2db865-0895-410a-91c5-7c6e296fba4f"/>
    <ds:schemaRef ds:uri="05f59206-51a0-4ba8-974e-2f18865ba531"/>
  </ds:schemaRefs>
</ds:datastoreItem>
</file>

<file path=customXml/itemProps2.xml><?xml version="1.0" encoding="utf-8"?>
<ds:datastoreItem xmlns:ds="http://schemas.openxmlformats.org/officeDocument/2006/customXml" ds:itemID="{1FEA03D4-1D40-4ABE-BE2B-DBB82D997E11}">
  <ds:schemaRefs>
    <ds:schemaRef ds:uri="http://schemas.microsoft.com/sharepoint/v3/contenttype/forms"/>
  </ds:schemaRefs>
</ds:datastoreItem>
</file>

<file path=customXml/itemProps3.xml><?xml version="1.0" encoding="utf-8"?>
<ds:datastoreItem xmlns:ds="http://schemas.openxmlformats.org/officeDocument/2006/customXml" ds:itemID="{C7DE1D04-1BBC-4035-84C8-004BDBA2D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db865-0895-410a-91c5-7c6e296fba4f"/>
    <ds:schemaRef ds:uri="05f59206-51a0-4ba8-974e-2f18865ba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Battaglia</dc:creator>
  <cp:keywords/>
  <dc:description/>
  <cp:lastModifiedBy>Paul Battaglia</cp:lastModifiedBy>
  <cp:revision>2</cp:revision>
  <dcterms:created xsi:type="dcterms:W3CDTF">2025-05-05T19:55:00Z</dcterms:created>
  <dcterms:modified xsi:type="dcterms:W3CDTF">2025-05-05T20:34:00Z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0x010100E69BC1865F71A14C9D97D9744E5ADEE5</vt:lpwstr>
  </property>
  <property fmtid="{D5CDD505-2E9C-101B-9397-08002B2CF9AE}" pid="3" name="MediaServiceImageTags">
    <vt:lpwstr/>
  </property>
</Properties>
</file>